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19A" w:rsidRPr="0092546D" w:rsidRDefault="0092546D" w:rsidP="00C83CDF">
      <w:pPr>
        <w:pStyle w:val="generatedheader"/>
        <w:shd w:val="clear" w:color="auto" w:fill="FFFFFF"/>
        <w:spacing w:before="0" w:beforeAutospacing="0" w:after="255" w:afterAutospacing="0" w:line="240" w:lineRule="atLeast"/>
        <w:jc w:val="center"/>
        <w:rPr>
          <w:b/>
          <w:bCs/>
          <w:color w:val="000000"/>
          <w:sz w:val="28"/>
          <w:szCs w:val="28"/>
          <w:lang w:val="be-BY"/>
        </w:rPr>
      </w:pPr>
      <w:r w:rsidRPr="0092546D">
        <w:rPr>
          <w:b/>
          <w:bCs/>
          <w:color w:val="000000"/>
          <w:sz w:val="28"/>
          <w:szCs w:val="28"/>
        </w:rPr>
        <w:t>АНАЛИЗ ФОНДА ЗАРАБОТНОЙ ПЛАТЫ</w:t>
      </w:r>
    </w:p>
    <w:p w:rsidR="00C83CDF" w:rsidRPr="0092546D" w:rsidRDefault="00C83CDF" w:rsidP="00C83CDF">
      <w:pPr>
        <w:pStyle w:val="generatedsubheader"/>
        <w:shd w:val="clear" w:color="auto" w:fill="FFFFFF"/>
        <w:spacing w:before="0" w:beforeAutospacing="0" w:after="0" w:afterAutospacing="0" w:line="240" w:lineRule="atLeast"/>
        <w:ind w:firstLine="720"/>
        <w:rPr>
          <w:bCs/>
          <w:color w:val="000000"/>
          <w:sz w:val="28"/>
          <w:szCs w:val="28"/>
        </w:rPr>
      </w:pPr>
      <w:r w:rsidRPr="009F5C73">
        <w:rPr>
          <w:b/>
          <w:bCs/>
          <w:color w:val="000000"/>
          <w:sz w:val="28"/>
          <w:szCs w:val="28"/>
        </w:rPr>
        <w:t xml:space="preserve">Аннотация: </w:t>
      </w:r>
      <w:r w:rsidR="0092546D">
        <w:rPr>
          <w:bCs/>
          <w:color w:val="000000"/>
          <w:sz w:val="28"/>
          <w:szCs w:val="28"/>
        </w:rPr>
        <w:t>основные аспекты анализа фонда заработной платы</w:t>
      </w:r>
    </w:p>
    <w:p w:rsidR="0092546D" w:rsidRPr="0092546D" w:rsidRDefault="00C83CDF" w:rsidP="0092546D">
      <w:pPr>
        <w:pStyle w:val="generatedsubheader"/>
        <w:shd w:val="clear" w:color="auto" w:fill="FFFFFF"/>
        <w:spacing w:before="0" w:beforeAutospacing="0" w:after="0" w:afterAutospacing="0" w:line="240" w:lineRule="atLeast"/>
        <w:ind w:firstLine="720"/>
        <w:rPr>
          <w:bCs/>
          <w:color w:val="000000"/>
          <w:sz w:val="28"/>
          <w:szCs w:val="28"/>
        </w:rPr>
      </w:pPr>
      <w:r w:rsidRPr="009F5C73">
        <w:rPr>
          <w:rStyle w:val="generatedsubheader1"/>
          <w:b/>
          <w:bCs/>
          <w:color w:val="000000"/>
          <w:sz w:val="28"/>
          <w:szCs w:val="28"/>
        </w:rPr>
        <w:t>Ключевые слова: </w:t>
      </w:r>
      <w:r w:rsidR="0092546D">
        <w:rPr>
          <w:bCs/>
          <w:color w:val="000000"/>
          <w:sz w:val="28"/>
          <w:szCs w:val="28"/>
        </w:rPr>
        <w:t>Анализ фонда заработной платы, задачи, источники информации</w:t>
      </w:r>
    </w:p>
    <w:p w:rsidR="0092546D" w:rsidRPr="0092546D" w:rsidRDefault="0092546D" w:rsidP="0092546D">
      <w:pPr>
        <w:pStyle w:val="generatedsubheader"/>
        <w:shd w:val="clear" w:color="auto" w:fill="FFFFFF"/>
        <w:spacing w:before="0" w:beforeAutospacing="0" w:after="0" w:afterAutospacing="0" w:line="360" w:lineRule="auto"/>
        <w:ind w:left="1134" w:right="1134" w:firstLine="709"/>
        <w:jc w:val="both"/>
        <w:rPr>
          <w:sz w:val="28"/>
          <w:szCs w:val="28"/>
        </w:rPr>
      </w:pPr>
      <w:r w:rsidRPr="0092546D">
        <w:rPr>
          <w:sz w:val="28"/>
          <w:szCs w:val="28"/>
        </w:rPr>
        <w:t>Совершенствование систем оплаты труда, поиск новых решений, может дать уже в ближайшем будущем рост заинтересованности работников к высокопроизводительному труду. При решении проблемы доведения минимальной заработной платы до уровня прожиточного минимума, возможно снятие проблемы социальной напряженности. А это, конечно же, в комплексе с решением ряда других проблем в экономике нашей страны, может явиться стимулом экономического роста в будущем.</w:t>
      </w:r>
    </w:p>
    <w:p w:rsidR="0092546D" w:rsidRPr="007E614F" w:rsidRDefault="0092546D" w:rsidP="0092546D">
      <w:pPr>
        <w:pStyle w:val="a7"/>
        <w:spacing w:line="360" w:lineRule="auto"/>
        <w:ind w:left="1134" w:right="1134"/>
        <w:rPr>
          <w:color w:val="auto"/>
        </w:rPr>
      </w:pPr>
      <w:r w:rsidRPr="0092546D">
        <w:rPr>
          <w:color w:val="auto"/>
        </w:rPr>
        <w:t>Расчеты с персоналом по оплате труда – наиболее трудоемкий участок анализа.</w:t>
      </w:r>
      <w:r w:rsidRPr="007E614F">
        <w:rPr>
          <w:color w:val="auto"/>
        </w:rPr>
        <w:t xml:space="preserve"> Для работы на данном участке необходимы высокая точность, аккуратность, максимум внимания и, безусловно, своевременное выполнение всех расчетных операций. В роли объектов учета могут выступать десятки, сотни и даже тысячи человек, по каждому из которых нужно учитывать и обрабатывать достаточно большие объемы данных.</w:t>
      </w:r>
    </w:p>
    <w:p w:rsidR="0092546D" w:rsidRPr="007E614F" w:rsidRDefault="0092546D" w:rsidP="0092546D">
      <w:pPr>
        <w:pStyle w:val="a7"/>
        <w:spacing w:line="360" w:lineRule="auto"/>
        <w:ind w:left="1134" w:right="1134"/>
        <w:rPr>
          <w:color w:val="auto"/>
        </w:rPr>
      </w:pPr>
      <w:r w:rsidRPr="007E614F">
        <w:rPr>
          <w:color w:val="auto"/>
        </w:rPr>
        <w:t xml:space="preserve">Более того, данная область анализа предъявляет повышенные требования к знанию действующего законодательства. Экономистам, отвечающим за данный участок, приходится постоянно отслеживать все изменения в законодательных актах, касающихся использования налоговых льгот, пособий и выплат, начисления отпускных, расчета оплаты больничных листов и т.д. </w:t>
      </w:r>
    </w:p>
    <w:p w:rsidR="0092546D" w:rsidRPr="007E614F" w:rsidRDefault="0092546D" w:rsidP="0092546D">
      <w:pPr>
        <w:pStyle w:val="a7"/>
        <w:spacing w:line="360" w:lineRule="auto"/>
        <w:ind w:left="1134" w:right="1134"/>
        <w:rPr>
          <w:color w:val="auto"/>
        </w:rPr>
      </w:pPr>
      <w:r w:rsidRPr="007E614F">
        <w:rPr>
          <w:color w:val="auto"/>
        </w:rPr>
        <w:t xml:space="preserve">Анализу хозяйственной деятельности принадлежит важная роль в совершенствовании организации заработной платы, обеспечения ее прямой зависимости от количества и </w:t>
      </w:r>
      <w:r w:rsidRPr="007E614F">
        <w:rPr>
          <w:color w:val="auto"/>
        </w:rPr>
        <w:lastRenderedPageBreak/>
        <w:t xml:space="preserve">качества труда, производственных результатов. В процессе анализа выявляются резервы для создания необходимых ресурсов роста и совершенствования оплаты труда, введения прогрессивных форм оплаты труда работников, обеспечивается систематический контроль за мерой труда и потребления [2, c. 115]. </w:t>
      </w:r>
    </w:p>
    <w:p w:rsidR="0092546D" w:rsidRPr="007E614F" w:rsidRDefault="0092546D" w:rsidP="0092546D">
      <w:pPr>
        <w:pStyle w:val="a7"/>
        <w:spacing w:line="360" w:lineRule="auto"/>
        <w:ind w:left="1134" w:right="1134"/>
        <w:rPr>
          <w:color w:val="auto"/>
        </w:rPr>
      </w:pPr>
      <w:r w:rsidRPr="007E614F">
        <w:rPr>
          <w:color w:val="auto"/>
        </w:rPr>
        <w:t xml:space="preserve">Анализ использования трудовых ресурсов в организации, уровня производительности труда необходимо рассматривать в тесной связи с оплатой труда. С ростом производительности труда создаются предпосылки для повышения уровня оплаты труда. При этом средства на оплату труда нужно использовать таким образом, чтобы темпы роста производительности труда обгоняли темпы роста его оплаты. </w:t>
      </w:r>
    </w:p>
    <w:p w:rsidR="0092546D" w:rsidRPr="007E614F" w:rsidRDefault="0092546D" w:rsidP="0092546D">
      <w:pPr>
        <w:pStyle w:val="a7"/>
        <w:spacing w:line="360" w:lineRule="auto"/>
        <w:ind w:left="1134" w:right="1134"/>
        <w:rPr>
          <w:color w:val="auto"/>
        </w:rPr>
      </w:pPr>
      <w:r w:rsidRPr="007E614F">
        <w:rPr>
          <w:color w:val="auto"/>
        </w:rPr>
        <w:t xml:space="preserve">В связи с этим анализ использования средств на оплату труда в каждой организации имеет большое значение. В процессе его следует осуществлять систематический контроль за использованием фонда заработной платы, выявлять возможности экономии средств за счет роста производительности труда. </w:t>
      </w:r>
    </w:p>
    <w:p w:rsidR="0092546D" w:rsidRPr="007E614F" w:rsidRDefault="0092546D" w:rsidP="0092546D">
      <w:pPr>
        <w:pStyle w:val="a7"/>
        <w:spacing w:line="360" w:lineRule="auto"/>
        <w:ind w:left="1134" w:right="1134"/>
        <w:rPr>
          <w:color w:val="auto"/>
        </w:rPr>
      </w:pPr>
      <w:r w:rsidRPr="007E614F">
        <w:rPr>
          <w:color w:val="auto"/>
        </w:rPr>
        <w:t>Задачи анализа фонда оплаты труда:</w:t>
      </w:r>
    </w:p>
    <w:p w:rsidR="0092546D" w:rsidRPr="007E614F" w:rsidRDefault="0092546D" w:rsidP="0092546D">
      <w:pPr>
        <w:pStyle w:val="a7"/>
        <w:spacing w:line="360" w:lineRule="auto"/>
        <w:ind w:left="284" w:right="1134"/>
        <w:rPr>
          <w:color w:val="auto"/>
        </w:rPr>
      </w:pPr>
      <w:r w:rsidRPr="007E614F">
        <w:rPr>
          <w:color w:val="auto"/>
        </w:rPr>
        <w:t xml:space="preserve"> – оценка динамики фонда заработной платы;</w:t>
      </w:r>
    </w:p>
    <w:p w:rsidR="0092546D" w:rsidRPr="007E614F" w:rsidRDefault="0092546D" w:rsidP="0092546D">
      <w:pPr>
        <w:pStyle w:val="a7"/>
        <w:spacing w:line="360" w:lineRule="auto"/>
        <w:ind w:left="284" w:right="1134"/>
        <w:rPr>
          <w:color w:val="auto"/>
        </w:rPr>
      </w:pPr>
      <w:r w:rsidRPr="007E614F">
        <w:rPr>
          <w:color w:val="auto"/>
        </w:rPr>
        <w:t xml:space="preserve"> – оценка выполнения плана по труду;</w:t>
      </w:r>
    </w:p>
    <w:p w:rsidR="0092546D" w:rsidRPr="007E614F" w:rsidRDefault="0092546D" w:rsidP="0092546D">
      <w:pPr>
        <w:pStyle w:val="a7"/>
        <w:spacing w:line="360" w:lineRule="auto"/>
        <w:ind w:left="1134" w:right="1134" w:hanging="141"/>
        <w:rPr>
          <w:color w:val="auto"/>
        </w:rPr>
      </w:pPr>
      <w:r w:rsidRPr="007E614F">
        <w:rPr>
          <w:color w:val="auto"/>
        </w:rPr>
        <w:t xml:space="preserve"> – количественное измерение факторов изменения фонда оплаты труда;</w:t>
      </w:r>
    </w:p>
    <w:p w:rsidR="0092546D" w:rsidRPr="007E614F" w:rsidRDefault="0092546D" w:rsidP="0092546D">
      <w:pPr>
        <w:pStyle w:val="a7"/>
        <w:spacing w:line="360" w:lineRule="auto"/>
        <w:ind w:left="284" w:right="1134"/>
        <w:rPr>
          <w:color w:val="auto"/>
        </w:rPr>
      </w:pPr>
      <w:r w:rsidRPr="007E614F">
        <w:rPr>
          <w:color w:val="auto"/>
        </w:rPr>
        <w:t xml:space="preserve"> – анализ показателей оплаты труда.</w:t>
      </w:r>
    </w:p>
    <w:p w:rsidR="0092546D" w:rsidRPr="007E614F" w:rsidRDefault="0092546D" w:rsidP="0092546D">
      <w:pPr>
        <w:pStyle w:val="a7"/>
        <w:spacing w:line="360" w:lineRule="auto"/>
        <w:ind w:left="1134" w:right="1134"/>
        <w:rPr>
          <w:color w:val="auto"/>
        </w:rPr>
      </w:pPr>
      <w:r w:rsidRPr="007E614F">
        <w:rPr>
          <w:color w:val="auto"/>
        </w:rPr>
        <w:t>Для анализа эффективности использования рабочей силы изучаются в первую очередь показатели и факторы их изменения, содержащиеся в отчете по труду.</w:t>
      </w:r>
    </w:p>
    <w:p w:rsidR="0092546D" w:rsidRPr="0092546D" w:rsidRDefault="0092546D" w:rsidP="0092546D">
      <w:pPr>
        <w:spacing w:line="360" w:lineRule="auto"/>
        <w:ind w:left="1134" w:right="1134" w:firstLine="709"/>
        <w:jc w:val="both"/>
        <w:rPr>
          <w:sz w:val="28"/>
          <w:szCs w:val="28"/>
          <w:shd w:val="clear" w:color="auto" w:fill="FFFFFF"/>
        </w:rPr>
      </w:pPr>
      <w:r w:rsidRPr="0092546D">
        <w:rPr>
          <w:sz w:val="28"/>
          <w:szCs w:val="28"/>
          <w:shd w:val="clear" w:color="auto" w:fill="FFFFFF"/>
        </w:rPr>
        <w:lastRenderedPageBreak/>
        <w:t>Источниками информации для анализа труда и заработной платы на предприятиях являются:</w:t>
      </w:r>
    </w:p>
    <w:p w:rsidR="0092546D" w:rsidRPr="0092546D" w:rsidRDefault="0092546D" w:rsidP="0092546D">
      <w:pPr>
        <w:spacing w:line="360" w:lineRule="auto"/>
        <w:ind w:left="1134" w:right="1134" w:firstLine="709"/>
        <w:jc w:val="both"/>
        <w:rPr>
          <w:sz w:val="28"/>
          <w:szCs w:val="28"/>
          <w:shd w:val="clear" w:color="auto" w:fill="FFFFFF"/>
        </w:rPr>
      </w:pPr>
      <w:r w:rsidRPr="0092546D">
        <w:rPr>
          <w:sz w:val="28"/>
          <w:szCs w:val="28"/>
          <w:shd w:val="clear" w:color="auto" w:fill="FFFFFF"/>
        </w:rPr>
        <w:t>– штатное расписание специалистов и служащих;</w:t>
      </w:r>
    </w:p>
    <w:p w:rsidR="0092546D" w:rsidRPr="0092546D" w:rsidRDefault="0092546D" w:rsidP="0092546D">
      <w:pPr>
        <w:spacing w:line="360" w:lineRule="auto"/>
        <w:ind w:left="1134" w:right="1134" w:firstLine="709"/>
        <w:jc w:val="both"/>
        <w:rPr>
          <w:sz w:val="28"/>
          <w:szCs w:val="28"/>
          <w:shd w:val="clear" w:color="auto" w:fill="FFFFFF"/>
        </w:rPr>
      </w:pPr>
      <w:r w:rsidRPr="0092546D">
        <w:rPr>
          <w:sz w:val="28"/>
          <w:szCs w:val="28"/>
          <w:shd w:val="clear" w:color="auto" w:fill="FFFFFF"/>
        </w:rPr>
        <w:t>– планы по труду;</w:t>
      </w:r>
    </w:p>
    <w:p w:rsidR="0092546D" w:rsidRPr="0092546D" w:rsidRDefault="0092546D" w:rsidP="0092546D">
      <w:pPr>
        <w:spacing w:line="360" w:lineRule="auto"/>
        <w:ind w:left="1134" w:right="1134" w:firstLine="709"/>
        <w:jc w:val="both"/>
        <w:rPr>
          <w:sz w:val="28"/>
          <w:szCs w:val="28"/>
          <w:shd w:val="clear" w:color="auto" w:fill="FFFFFF"/>
        </w:rPr>
      </w:pPr>
      <w:r w:rsidRPr="0092546D">
        <w:rPr>
          <w:sz w:val="28"/>
          <w:szCs w:val="28"/>
          <w:shd w:val="clear" w:color="auto" w:fill="FFFFFF"/>
        </w:rPr>
        <w:t>– расчеты потребности в основных производственных рабочих;</w:t>
      </w:r>
    </w:p>
    <w:p w:rsidR="0092546D" w:rsidRPr="0092546D" w:rsidRDefault="0092546D" w:rsidP="0092546D">
      <w:pPr>
        <w:spacing w:line="360" w:lineRule="auto"/>
        <w:ind w:left="1134" w:right="1134" w:firstLine="709"/>
        <w:jc w:val="both"/>
        <w:rPr>
          <w:sz w:val="28"/>
          <w:szCs w:val="28"/>
          <w:shd w:val="clear" w:color="auto" w:fill="FFFFFF"/>
        </w:rPr>
      </w:pPr>
      <w:r w:rsidRPr="0092546D">
        <w:rPr>
          <w:sz w:val="28"/>
          <w:szCs w:val="28"/>
          <w:shd w:val="clear" w:color="auto" w:fill="FFFFFF"/>
        </w:rPr>
        <w:t>– данные табельного учета о движении рабочей силы;</w:t>
      </w:r>
    </w:p>
    <w:p w:rsidR="0092546D" w:rsidRPr="0092546D" w:rsidRDefault="0092546D" w:rsidP="0092546D">
      <w:pPr>
        <w:spacing w:line="360" w:lineRule="auto"/>
        <w:ind w:left="1134" w:right="1134" w:firstLine="709"/>
        <w:jc w:val="both"/>
        <w:rPr>
          <w:sz w:val="28"/>
          <w:szCs w:val="28"/>
          <w:shd w:val="clear" w:color="auto" w:fill="FFFFFF"/>
        </w:rPr>
      </w:pPr>
      <w:r w:rsidRPr="0092546D">
        <w:rPr>
          <w:sz w:val="28"/>
          <w:szCs w:val="28"/>
          <w:shd w:val="clear" w:color="auto" w:fill="FFFFFF"/>
        </w:rPr>
        <w:t>– материалы бухгалтерского учета о начислении заработной платы: статистическая отчетность форма № 1–т (</w:t>
      </w:r>
      <w:proofErr w:type="spellStart"/>
      <w:proofErr w:type="gramStart"/>
      <w:r w:rsidRPr="0092546D">
        <w:rPr>
          <w:sz w:val="28"/>
          <w:szCs w:val="28"/>
          <w:shd w:val="clear" w:color="auto" w:fill="FFFFFF"/>
        </w:rPr>
        <w:t>пром</w:t>
      </w:r>
      <w:proofErr w:type="spellEnd"/>
      <w:r w:rsidRPr="0092546D">
        <w:rPr>
          <w:sz w:val="28"/>
          <w:szCs w:val="28"/>
          <w:shd w:val="clear" w:color="auto" w:fill="FFFFFF"/>
        </w:rPr>
        <w:t>)  квартальная</w:t>
      </w:r>
      <w:proofErr w:type="gramEnd"/>
      <w:r w:rsidRPr="0092546D">
        <w:rPr>
          <w:sz w:val="28"/>
          <w:szCs w:val="28"/>
          <w:shd w:val="clear" w:color="auto" w:fill="FFFFFF"/>
        </w:rPr>
        <w:t>, за год;</w:t>
      </w:r>
    </w:p>
    <w:p w:rsidR="0092546D" w:rsidRPr="0092546D" w:rsidRDefault="0092546D" w:rsidP="0092546D">
      <w:pPr>
        <w:spacing w:line="360" w:lineRule="auto"/>
        <w:ind w:left="1134" w:right="1134" w:firstLine="709"/>
        <w:jc w:val="both"/>
        <w:rPr>
          <w:sz w:val="28"/>
          <w:szCs w:val="28"/>
          <w:shd w:val="clear" w:color="auto" w:fill="FFFFFF"/>
        </w:rPr>
      </w:pPr>
      <w:r w:rsidRPr="0092546D">
        <w:rPr>
          <w:sz w:val="28"/>
          <w:szCs w:val="28"/>
          <w:shd w:val="clear" w:color="auto" w:fill="FFFFFF"/>
        </w:rPr>
        <w:t>– форма № 12–т «Отчет по труду»;</w:t>
      </w:r>
    </w:p>
    <w:p w:rsidR="0092546D" w:rsidRPr="0092546D" w:rsidRDefault="0092546D" w:rsidP="0092546D">
      <w:pPr>
        <w:spacing w:line="360" w:lineRule="auto"/>
        <w:ind w:left="1134" w:right="1134" w:firstLine="709"/>
        <w:jc w:val="both"/>
        <w:rPr>
          <w:sz w:val="28"/>
          <w:szCs w:val="28"/>
          <w:shd w:val="clear" w:color="auto" w:fill="FFFFFF"/>
        </w:rPr>
      </w:pPr>
      <w:r w:rsidRPr="0092546D">
        <w:rPr>
          <w:sz w:val="28"/>
          <w:szCs w:val="28"/>
          <w:shd w:val="clear" w:color="auto" w:fill="FFFFFF"/>
        </w:rPr>
        <w:t>– форма № 1–т (фонд времени) «Отчет об использовании календарного фонда времени».</w:t>
      </w:r>
    </w:p>
    <w:p w:rsidR="0092546D" w:rsidRPr="0092546D" w:rsidRDefault="0092546D" w:rsidP="0092546D">
      <w:pPr>
        <w:spacing w:line="360" w:lineRule="auto"/>
        <w:ind w:left="1134" w:right="1134" w:firstLine="709"/>
        <w:jc w:val="both"/>
        <w:rPr>
          <w:sz w:val="28"/>
          <w:szCs w:val="28"/>
          <w:shd w:val="clear" w:color="auto" w:fill="FFFFFF"/>
        </w:rPr>
      </w:pPr>
      <w:r w:rsidRPr="0092546D">
        <w:rPr>
          <w:sz w:val="28"/>
          <w:szCs w:val="28"/>
          <w:shd w:val="clear" w:color="auto" w:fill="FFFFFF"/>
        </w:rPr>
        <w:t xml:space="preserve">Основными унифицированными формами первичной документации по учету труда и его оплаты являются: приказы (распоряжения) о приеме на работу, переводе на другую работу, предоставлении отпуска, прекращении трудового договора (контракта), личная карточка, наряды на сдельные работы, список </w:t>
      </w:r>
      <w:proofErr w:type="gramStart"/>
      <w:r w:rsidRPr="0092546D">
        <w:rPr>
          <w:sz w:val="28"/>
          <w:szCs w:val="28"/>
          <w:shd w:val="clear" w:color="auto" w:fill="FFFFFF"/>
        </w:rPr>
        <w:t>лиц</w:t>
      </w:r>
      <w:proofErr w:type="gramEnd"/>
      <w:r w:rsidRPr="0092546D">
        <w:rPr>
          <w:sz w:val="28"/>
          <w:szCs w:val="28"/>
          <w:shd w:val="clear" w:color="auto" w:fill="FFFFFF"/>
        </w:rPr>
        <w:t xml:space="preserve"> работавших сверхурочно, листок учета простоев, </w:t>
      </w:r>
      <w:proofErr w:type="spellStart"/>
      <w:r w:rsidRPr="0092546D">
        <w:rPr>
          <w:sz w:val="28"/>
          <w:szCs w:val="28"/>
          <w:shd w:val="clear" w:color="auto" w:fill="FFFFFF"/>
        </w:rPr>
        <w:t>расчетно</w:t>
      </w:r>
      <w:proofErr w:type="spellEnd"/>
      <w:r w:rsidRPr="0092546D">
        <w:rPr>
          <w:sz w:val="28"/>
          <w:szCs w:val="28"/>
          <w:shd w:val="clear" w:color="auto" w:fill="FFFFFF"/>
        </w:rPr>
        <w:t>–платежные ведомости, лицевые счета работников.</w:t>
      </w:r>
    </w:p>
    <w:p w:rsidR="0092546D" w:rsidRPr="007E614F" w:rsidRDefault="0092546D" w:rsidP="0092546D">
      <w:pPr>
        <w:pStyle w:val="a7"/>
        <w:spacing w:line="360" w:lineRule="auto"/>
        <w:ind w:left="1134" w:right="1134"/>
        <w:rPr>
          <w:color w:val="auto"/>
        </w:rPr>
      </w:pPr>
      <w:r w:rsidRPr="007E614F">
        <w:rPr>
          <w:color w:val="auto"/>
        </w:rPr>
        <w:t>Таким образом, можно сделать вывод о том, что анализ фонда заработной платы занимает по своему значению одно из центральных мест во всем анализе хозяйственной деятельности организации.</w:t>
      </w:r>
    </w:p>
    <w:p w:rsidR="00C83CDF" w:rsidRPr="0092546D" w:rsidRDefault="00C83CDF" w:rsidP="005D75DD">
      <w:pPr>
        <w:spacing w:line="360" w:lineRule="auto"/>
        <w:ind w:left="1134" w:right="1134" w:firstLine="709"/>
        <w:jc w:val="both"/>
        <w:rPr>
          <w:sz w:val="28"/>
          <w:szCs w:val="28"/>
          <w:lang w:val="x-none"/>
        </w:rPr>
      </w:pPr>
    </w:p>
    <w:p w:rsidR="003C183A" w:rsidRPr="00102789" w:rsidRDefault="004622B4" w:rsidP="004622B4">
      <w:pPr>
        <w:spacing w:line="360" w:lineRule="auto"/>
        <w:ind w:left="1134" w:right="1134" w:firstLine="709"/>
        <w:jc w:val="center"/>
        <w:rPr>
          <w:b/>
          <w:sz w:val="28"/>
          <w:shd w:val="clear" w:color="auto" w:fill="FFFFFF"/>
        </w:rPr>
      </w:pPr>
      <w:r w:rsidRPr="00102789">
        <w:rPr>
          <w:b/>
          <w:sz w:val="28"/>
          <w:shd w:val="clear" w:color="auto" w:fill="FFFFFF"/>
        </w:rPr>
        <w:t>Список литературы</w:t>
      </w:r>
    </w:p>
    <w:p w:rsidR="005D75DD" w:rsidRPr="00102789" w:rsidRDefault="0092546D" w:rsidP="009973F3">
      <w:pPr>
        <w:pStyle w:val="a3"/>
        <w:widowControl w:val="0"/>
        <w:numPr>
          <w:ilvl w:val="0"/>
          <w:numId w:val="4"/>
        </w:numPr>
        <w:spacing w:line="360" w:lineRule="auto"/>
        <w:ind w:left="1134" w:right="1134" w:firstLine="357"/>
        <w:contextualSpacing w:val="0"/>
        <w:jc w:val="both"/>
        <w:rPr>
          <w:sz w:val="28"/>
          <w:szCs w:val="28"/>
        </w:rPr>
      </w:pPr>
      <w:bookmarkStart w:id="0" w:name="_GoBack"/>
      <w:proofErr w:type="spellStart"/>
      <w:r w:rsidRPr="00102789">
        <w:rPr>
          <w:sz w:val="28"/>
          <w:szCs w:val="28"/>
        </w:rPr>
        <w:t>Адаменкова</w:t>
      </w:r>
      <w:proofErr w:type="spellEnd"/>
      <w:r w:rsidRPr="00102789">
        <w:rPr>
          <w:sz w:val="28"/>
          <w:szCs w:val="28"/>
        </w:rPr>
        <w:t xml:space="preserve">, С.И. Анализ хозяйственной деятельности / С.И. </w:t>
      </w:r>
      <w:proofErr w:type="spellStart"/>
      <w:r w:rsidRPr="00102789">
        <w:rPr>
          <w:sz w:val="28"/>
          <w:szCs w:val="28"/>
        </w:rPr>
        <w:t>Адаменкова</w:t>
      </w:r>
      <w:proofErr w:type="spellEnd"/>
      <w:r w:rsidRPr="00102789">
        <w:rPr>
          <w:sz w:val="28"/>
          <w:szCs w:val="28"/>
        </w:rPr>
        <w:t xml:space="preserve">, </w:t>
      </w:r>
      <w:proofErr w:type="spellStart"/>
      <w:r w:rsidRPr="00102789">
        <w:rPr>
          <w:sz w:val="28"/>
          <w:szCs w:val="28"/>
        </w:rPr>
        <w:t>О.С.Евменчик</w:t>
      </w:r>
      <w:proofErr w:type="spellEnd"/>
      <w:r w:rsidRPr="00102789">
        <w:rPr>
          <w:sz w:val="28"/>
          <w:szCs w:val="28"/>
        </w:rPr>
        <w:t xml:space="preserve">. – Минск: БНТУ, 2015. – 260 с. </w:t>
      </w:r>
    </w:p>
    <w:p w:rsidR="009973F3" w:rsidRPr="00102789" w:rsidRDefault="009973F3" w:rsidP="009973F3">
      <w:pPr>
        <w:pStyle w:val="a3"/>
        <w:widowControl w:val="0"/>
        <w:numPr>
          <w:ilvl w:val="0"/>
          <w:numId w:val="4"/>
        </w:numPr>
        <w:spacing w:line="360" w:lineRule="auto"/>
        <w:ind w:left="1134" w:right="1134" w:firstLine="357"/>
        <w:contextualSpacing w:val="0"/>
        <w:jc w:val="both"/>
        <w:rPr>
          <w:sz w:val="28"/>
          <w:szCs w:val="28"/>
        </w:rPr>
      </w:pPr>
      <w:proofErr w:type="spellStart"/>
      <w:r w:rsidRPr="00102789">
        <w:rPr>
          <w:sz w:val="28"/>
          <w:szCs w:val="28"/>
        </w:rPr>
        <w:lastRenderedPageBreak/>
        <w:t>Бабук</w:t>
      </w:r>
      <w:proofErr w:type="spellEnd"/>
      <w:r w:rsidRPr="00102789">
        <w:rPr>
          <w:sz w:val="28"/>
          <w:szCs w:val="28"/>
        </w:rPr>
        <w:t xml:space="preserve"> И.М. Экономика организации: учеб пособие. Минск: «ИВЦ Минфина», 2016. - 327 с.</w:t>
      </w:r>
    </w:p>
    <w:p w:rsidR="009973F3" w:rsidRPr="00102789" w:rsidRDefault="009973F3" w:rsidP="009973F3">
      <w:pPr>
        <w:pStyle w:val="a3"/>
        <w:widowControl w:val="0"/>
        <w:numPr>
          <w:ilvl w:val="0"/>
          <w:numId w:val="4"/>
        </w:numPr>
        <w:spacing w:line="360" w:lineRule="auto"/>
        <w:ind w:left="1134" w:right="1134" w:firstLine="357"/>
        <w:contextualSpacing w:val="0"/>
        <w:jc w:val="both"/>
        <w:rPr>
          <w:sz w:val="28"/>
          <w:szCs w:val="28"/>
        </w:rPr>
      </w:pPr>
      <w:r w:rsidRPr="00102789">
        <w:rPr>
          <w:sz w:val="28"/>
          <w:szCs w:val="28"/>
        </w:rPr>
        <w:t xml:space="preserve">Генкин, Б.М. Экономика и социология труда. Учебник </w:t>
      </w:r>
      <w:proofErr w:type="gramStart"/>
      <w:r w:rsidRPr="00102789">
        <w:rPr>
          <w:sz w:val="28"/>
          <w:szCs w:val="28"/>
        </w:rPr>
        <w:t>для  вузов</w:t>
      </w:r>
      <w:proofErr w:type="gramEnd"/>
      <w:r w:rsidRPr="00102789">
        <w:rPr>
          <w:sz w:val="28"/>
          <w:szCs w:val="28"/>
        </w:rPr>
        <w:t>.  –  М.: Издательская группа НОРМА-ИНФРА. – 2016 – 384 с.</w:t>
      </w:r>
    </w:p>
    <w:p w:rsidR="009973F3" w:rsidRPr="00102789" w:rsidRDefault="009973F3" w:rsidP="009973F3">
      <w:pPr>
        <w:pStyle w:val="a3"/>
        <w:widowControl w:val="0"/>
        <w:numPr>
          <w:ilvl w:val="0"/>
          <w:numId w:val="4"/>
        </w:numPr>
        <w:spacing w:line="360" w:lineRule="auto"/>
        <w:ind w:left="1134" w:right="1134" w:firstLine="357"/>
        <w:contextualSpacing w:val="0"/>
        <w:jc w:val="both"/>
        <w:rPr>
          <w:sz w:val="28"/>
          <w:szCs w:val="28"/>
        </w:rPr>
      </w:pPr>
      <w:proofErr w:type="spellStart"/>
      <w:r w:rsidRPr="00102789">
        <w:rPr>
          <w:sz w:val="28"/>
          <w:szCs w:val="28"/>
        </w:rPr>
        <w:t>Ермолочич</w:t>
      </w:r>
      <w:proofErr w:type="spellEnd"/>
      <w:r w:rsidRPr="00102789">
        <w:rPr>
          <w:sz w:val="28"/>
          <w:szCs w:val="28"/>
        </w:rPr>
        <w:t xml:space="preserve">, Л.Л. Экономический анализ финансово-хозяйственной деятельности организации. / По общ. ред. Л.Л. </w:t>
      </w:r>
      <w:proofErr w:type="spellStart"/>
      <w:r w:rsidRPr="00102789">
        <w:rPr>
          <w:sz w:val="28"/>
          <w:szCs w:val="28"/>
        </w:rPr>
        <w:t>Ермолович</w:t>
      </w:r>
      <w:proofErr w:type="spellEnd"/>
      <w:r w:rsidRPr="00102789">
        <w:rPr>
          <w:sz w:val="28"/>
          <w:szCs w:val="28"/>
        </w:rPr>
        <w:t>. –Минск: БГЭУ, 2009. – 800 с.</w:t>
      </w:r>
    </w:p>
    <w:bookmarkEnd w:id="0"/>
    <w:p w:rsidR="0092546D" w:rsidRPr="0092546D" w:rsidRDefault="0092546D" w:rsidP="009973F3">
      <w:pPr>
        <w:pStyle w:val="a3"/>
        <w:widowControl w:val="0"/>
        <w:spacing w:line="264" w:lineRule="auto"/>
        <w:jc w:val="both"/>
        <w:rPr>
          <w:sz w:val="28"/>
          <w:szCs w:val="28"/>
        </w:rPr>
      </w:pPr>
    </w:p>
    <w:p w:rsidR="005D75DD" w:rsidRPr="004622B4" w:rsidRDefault="005D75DD" w:rsidP="005D75DD">
      <w:pPr>
        <w:tabs>
          <w:tab w:val="left" w:pos="426"/>
        </w:tabs>
        <w:spacing w:line="360" w:lineRule="exact"/>
        <w:ind w:right="1134"/>
        <w:jc w:val="right"/>
      </w:pPr>
      <w:r>
        <w:rPr>
          <w:rStyle w:val="a6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  <w:t>© О.Л. Гурская, 2019</w:t>
      </w:r>
    </w:p>
    <w:sectPr w:rsidR="005D75DD" w:rsidRPr="004622B4" w:rsidSect="004622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038"/>
    <w:multiLevelType w:val="hybridMultilevel"/>
    <w:tmpl w:val="5810DD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" w15:restartNumberingAfterBreak="0">
    <w:nsid w:val="2FF4665A"/>
    <w:multiLevelType w:val="hybridMultilevel"/>
    <w:tmpl w:val="5810DD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" w15:restartNumberingAfterBreak="0">
    <w:nsid w:val="32133967"/>
    <w:multiLevelType w:val="hybridMultilevel"/>
    <w:tmpl w:val="CC8218FC"/>
    <w:lvl w:ilvl="0" w:tplc="94E497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27660"/>
    <w:multiLevelType w:val="hybridMultilevel"/>
    <w:tmpl w:val="3F228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437BE"/>
    <w:multiLevelType w:val="hybridMultilevel"/>
    <w:tmpl w:val="748ED8E6"/>
    <w:lvl w:ilvl="0" w:tplc="0419000F">
      <w:start w:val="1"/>
      <w:numFmt w:val="decimal"/>
      <w:lvlText w:val="%1."/>
      <w:lvlJc w:val="left"/>
      <w:pPr>
        <w:ind w:left="2563" w:hanging="360"/>
      </w:p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5" w15:restartNumberingAfterBreak="0">
    <w:nsid w:val="789B17CE"/>
    <w:multiLevelType w:val="hybridMultilevel"/>
    <w:tmpl w:val="D7C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50"/>
    <w:rsid w:val="00102789"/>
    <w:rsid w:val="001223F6"/>
    <w:rsid w:val="002C5050"/>
    <w:rsid w:val="003C183A"/>
    <w:rsid w:val="004622B4"/>
    <w:rsid w:val="00503CFC"/>
    <w:rsid w:val="005D75DD"/>
    <w:rsid w:val="00642280"/>
    <w:rsid w:val="0092546D"/>
    <w:rsid w:val="009418F0"/>
    <w:rsid w:val="009973F3"/>
    <w:rsid w:val="00AE7812"/>
    <w:rsid w:val="00BE0043"/>
    <w:rsid w:val="00C53C03"/>
    <w:rsid w:val="00C833FD"/>
    <w:rsid w:val="00C83CDF"/>
    <w:rsid w:val="00DC019A"/>
    <w:rsid w:val="00E3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E90D6-A038-4220-93D0-77AAD4F7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1">
    <w:name w:val="style51"/>
    <w:basedOn w:val="a"/>
    <w:rsid w:val="00C833FD"/>
    <w:pPr>
      <w:spacing w:before="100" w:beforeAutospacing="1" w:after="100" w:afterAutospacing="1"/>
    </w:pPr>
  </w:style>
  <w:style w:type="paragraph" w:styleId="a3">
    <w:name w:val="List Paragraph"/>
    <w:aliases w:val="Табличный,курсовая Витебск"/>
    <w:basedOn w:val="a"/>
    <w:link w:val="a4"/>
    <w:uiPriority w:val="34"/>
    <w:qFormat/>
    <w:rsid w:val="004622B4"/>
    <w:pPr>
      <w:ind w:left="720"/>
      <w:contextualSpacing/>
    </w:pPr>
  </w:style>
  <w:style w:type="paragraph" w:customStyle="1" w:styleId="generatedheader">
    <w:name w:val="generated_header"/>
    <w:basedOn w:val="a"/>
    <w:rsid w:val="00AE7812"/>
    <w:pPr>
      <w:spacing w:before="100" w:beforeAutospacing="1" w:after="100" w:afterAutospacing="1"/>
    </w:pPr>
  </w:style>
  <w:style w:type="paragraph" w:customStyle="1" w:styleId="authorname">
    <w:name w:val="author_name"/>
    <w:basedOn w:val="a"/>
    <w:rsid w:val="00AE7812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AE7812"/>
    <w:pPr>
      <w:spacing w:before="100" w:beforeAutospacing="1" w:after="100" w:afterAutospacing="1"/>
    </w:pPr>
  </w:style>
  <w:style w:type="paragraph" w:customStyle="1" w:styleId="generatedsubheader">
    <w:name w:val="generated_subheader"/>
    <w:basedOn w:val="a"/>
    <w:rsid w:val="00AE7812"/>
    <w:pPr>
      <w:spacing w:before="100" w:beforeAutospacing="1" w:after="100" w:afterAutospacing="1"/>
    </w:pPr>
  </w:style>
  <w:style w:type="character" w:customStyle="1" w:styleId="generatedsubheader1">
    <w:name w:val="generated_subheader1"/>
    <w:basedOn w:val="a0"/>
    <w:rsid w:val="00AE7812"/>
  </w:style>
  <w:style w:type="character" w:styleId="a6">
    <w:name w:val="Strong"/>
    <w:basedOn w:val="a0"/>
    <w:uiPriority w:val="22"/>
    <w:qFormat/>
    <w:rsid w:val="005D75DD"/>
    <w:rPr>
      <w:b/>
      <w:bCs/>
    </w:rPr>
  </w:style>
  <w:style w:type="paragraph" w:customStyle="1" w:styleId="a7">
    <w:name w:val="обычн"/>
    <w:basedOn w:val="a"/>
    <w:link w:val="a8"/>
    <w:qFormat/>
    <w:rsid w:val="0092546D"/>
    <w:pPr>
      <w:widowControl w:val="0"/>
      <w:spacing w:line="360" w:lineRule="exact"/>
      <w:ind w:firstLine="709"/>
      <w:jc w:val="both"/>
    </w:pPr>
    <w:rPr>
      <w:rFonts w:eastAsia="Courier New"/>
      <w:color w:val="000000"/>
      <w:sz w:val="28"/>
      <w:szCs w:val="28"/>
      <w:lang w:val="x-none" w:eastAsia="x-none"/>
    </w:rPr>
  </w:style>
  <w:style w:type="character" w:customStyle="1" w:styleId="a8">
    <w:name w:val="обычн Знак"/>
    <w:link w:val="a7"/>
    <w:rsid w:val="0092546D"/>
    <w:rPr>
      <w:rFonts w:ascii="Times New Roman" w:eastAsia="Courier New" w:hAnsi="Times New Roman" w:cs="Times New Roman"/>
      <w:color w:val="000000"/>
      <w:sz w:val="28"/>
      <w:szCs w:val="28"/>
      <w:lang w:val="x-none" w:eastAsia="x-none"/>
    </w:rPr>
  </w:style>
  <w:style w:type="character" w:customStyle="1" w:styleId="a4">
    <w:name w:val="Абзац списка Знак"/>
    <w:aliases w:val="Табличный Знак,курсовая Витебск Знак"/>
    <w:link w:val="a3"/>
    <w:locked/>
    <w:rsid w:val="009254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6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2019-01-14T09:28:00Z</dcterms:created>
  <dcterms:modified xsi:type="dcterms:W3CDTF">2019-04-25T11:48:00Z</dcterms:modified>
</cp:coreProperties>
</file>