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212" w:rsidRPr="00960DD5" w:rsidRDefault="00A96F31" w:rsidP="00AC1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</w:t>
      </w:r>
      <w:r w:rsidR="00A17C4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ОСТАВЛЕНИЕ ЕДИНЫХ ФОРМУЛ ПО РАСЧЕТУ ТЕПЛООБМЕНА </w:t>
      </w:r>
      <w:proofErr w:type="gramStart"/>
      <w:r w:rsidR="00A17C4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В  ПУЧКАХ</w:t>
      </w:r>
      <w:proofErr w:type="gramEnd"/>
      <w:r w:rsidR="00AC1212" w:rsidRPr="00960D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ТРУБ</w:t>
      </w:r>
      <w:r w:rsidR="00AC121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В ИНТЕВАЛЕ ВЫСОКИХ ЧИСЕЛ РЕЙНОЛЬДСА</w:t>
      </w:r>
    </w:p>
    <w:bookmarkEnd w:id="0"/>
    <w:p w:rsidR="00AC1212" w:rsidRDefault="00AC1212" w:rsidP="00AC121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AC1212" w:rsidRDefault="00AC1212" w:rsidP="00AC1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20"/>
          <w:lang w:eastAsia="ru-RU"/>
        </w:rPr>
        <w:t>Сугиров</w:t>
      </w:r>
      <w:proofErr w:type="spellEnd"/>
      <w:r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Д.У.</w:t>
      </w:r>
    </w:p>
    <w:p w:rsidR="00AC1212" w:rsidRPr="0077571F" w:rsidRDefault="00AC1212" w:rsidP="00AC1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1212" w:rsidRPr="00960DD5" w:rsidRDefault="00AC1212" w:rsidP="00AC1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Каспийский государственный университет технологий и инжиниринга имени Ш. </w:t>
      </w:r>
      <w:proofErr w:type="spellStart"/>
      <w:r w:rsidRPr="00960DD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Есенова</w:t>
      </w:r>
      <w:proofErr w:type="spellEnd"/>
    </w:p>
    <w:p w:rsidR="00AC1212" w:rsidRDefault="00AC1212" w:rsidP="00AC1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0B2" w:rsidRPr="00960DD5" w:rsidRDefault="007570B2" w:rsidP="00AC1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212" w:rsidRPr="00960DD5" w:rsidRDefault="00AC1212" w:rsidP="00AC1212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</w:pPr>
      <w:r w:rsidRPr="00960D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Аннотация.</w:t>
      </w:r>
      <w:r w:rsidRPr="0096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960DD5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960D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960D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</w:t>
      </w:r>
      <w:r w:rsidRPr="00960DD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ь</w:t>
      </w:r>
      <w:r w:rsidRPr="00960D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60DD5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приводятся результаты</w:t>
      </w:r>
      <w:r w:rsidRPr="00960DD5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экспериментальных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исследований 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теплообмена и аэродинамических соп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ротивлений пучков труб в интервале высоких чисел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Рейнольдса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позволяющие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решать задачи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нахождения обобщающих зависимостей для расчета теплообмена и аэродинамиче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ских сопротивлений,</w:t>
      </w:r>
      <w:r w:rsidRPr="00960DD5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при установки различ</w:t>
      </w:r>
      <w:r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ных </w:t>
      </w:r>
      <w:proofErr w:type="spellStart"/>
      <w:r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>турбулизаторов</w:t>
      </w:r>
      <w:proofErr w:type="spellEnd"/>
      <w:r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в газоходах установок</w:t>
      </w:r>
      <w:r w:rsidRPr="00960DD5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, при различной </w:t>
      </w:r>
      <w:r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>скорости теплоносителя</w:t>
      </w:r>
      <w:r w:rsidRPr="00960DD5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>.</w:t>
      </w:r>
      <w:r w:rsidRPr="00960DD5">
        <w:rPr>
          <w:rFonts w:ascii="Times New Roman" w:eastAsia="Times New Roman" w:hAnsi="Times New Roman" w:cs="Times New Roman"/>
          <w:b/>
          <w:spacing w:val="25"/>
          <w:sz w:val="28"/>
          <w:szCs w:val="28"/>
          <w:lang w:eastAsia="ru-RU"/>
        </w:rPr>
        <w:t xml:space="preserve"> </w:t>
      </w:r>
    </w:p>
    <w:p w:rsidR="00AC1212" w:rsidRPr="00960DD5" w:rsidRDefault="00AC1212" w:rsidP="00AC1212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DD5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К</w:t>
      </w:r>
      <w:r w:rsidRPr="00960D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люче</w:t>
      </w:r>
      <w:r w:rsidRPr="00960DD5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в</w:t>
      </w:r>
      <w:r w:rsidRPr="00960D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ые</w:t>
      </w:r>
      <w:r w:rsidRPr="00960DD5">
        <w:rPr>
          <w:rFonts w:ascii="Times New Roman" w:eastAsia="Times New Roman" w:hAnsi="Times New Roman" w:cs="Times New Roman"/>
          <w:i/>
          <w:spacing w:val="44"/>
          <w:sz w:val="28"/>
          <w:szCs w:val="28"/>
          <w:lang w:eastAsia="ru-RU"/>
        </w:rPr>
        <w:t xml:space="preserve"> </w:t>
      </w:r>
      <w:r w:rsidRPr="00960DD5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с</w:t>
      </w:r>
      <w:r w:rsidRPr="00960D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</w:t>
      </w:r>
      <w:r w:rsidRPr="00960DD5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в</w:t>
      </w:r>
      <w:r w:rsidRPr="00960D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60D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конвективный теплообмен</w:t>
      </w:r>
      <w:r w:rsidRPr="00960DD5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аэродинамические сопротивления, пучки гладких труб, число </w:t>
      </w:r>
      <w:proofErr w:type="spellStart"/>
      <w:r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>Рейнольдса</w:t>
      </w:r>
      <w:proofErr w:type="spellEnd"/>
    </w:p>
    <w:p w:rsidR="00AC1212" w:rsidRDefault="00AC1212" w:rsidP="008B0C05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</w:p>
    <w:p w:rsidR="007570B2" w:rsidRDefault="007570B2" w:rsidP="008B0C05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</w:p>
    <w:p w:rsidR="008B0C05" w:rsidRPr="0077571F" w:rsidRDefault="008B0C05" w:rsidP="008B0C05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В интервале высоких </w:t>
      </w:r>
      <w:proofErr w:type="gramStart"/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чисел 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proofErr w:type="gram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исследователи при обобщении данных по теплоотдаче пред</w:t>
      </w:r>
      <w:r w:rsid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ложили следующие зависимости /1, 2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/:</w:t>
      </w:r>
    </w:p>
    <w:p w:rsidR="008B0C05" w:rsidRPr="0077571F" w:rsidRDefault="008B0C05" w:rsidP="008B0C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а) для коридорных пучков</w:t>
      </w:r>
    </w:p>
    <w:p w:rsidR="008B0C05" w:rsidRPr="0077571F" w:rsidRDefault="008B0C05" w:rsidP="008B0C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B0C05" w:rsidRPr="00085E8C" w:rsidRDefault="008B0C05" w:rsidP="008B0C05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Nu</w: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= 0,020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Pr="00085E8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0,84</w: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345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5pt" o:ole="" fillcolor="window">
            <v:imagedata r:id="rId5" o:title=""/>
          </v:shape>
          <o:OLEObject Type="Embed" ProgID="Equation.3" ShapeID="_x0000_i1025" DrawAspect="Content" ObjectID="_1616833365" r:id="rId6"/>
        </w:objec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(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12"/>
          <w:sz w:val="28"/>
          <w:szCs w:val="24"/>
          <w:lang w:val="en-US" w:eastAsia="ru-RU"/>
        </w:rPr>
        <w:object w:dxaOrig="225" w:dyaOrig="360">
          <v:shape id="_x0000_i1026" type="#_x0000_t75" style="width:11.25pt;height:18pt" o:ole="" fillcolor="window">
            <v:imagedata r:id="rId7" o:title=""/>
          </v:shape>
          <o:OLEObject Type="Embed" ProgID="Equation.3" ShapeID="_x0000_i1026" DrawAspect="Content" ObjectID="_1616833366" r:id="rId8"/>
        </w:objec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/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12"/>
          <w:sz w:val="28"/>
          <w:szCs w:val="24"/>
          <w:lang w:val="en-US" w:eastAsia="ru-RU"/>
        </w:rPr>
        <w:object w:dxaOrig="240" w:dyaOrig="360">
          <v:shape id="_x0000_i1027" type="#_x0000_t75" style="width:12pt;height:18pt" o:ole="" fillcolor="window">
            <v:imagedata r:id="rId9" o:title=""/>
          </v:shape>
          <o:OLEObject Type="Embed" ProgID="Equation.3" ShapeID="_x0000_i1027" DrawAspect="Content" ObjectID="_1616833367" r:id="rId10"/>
        </w:objec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)</w:t>
      </w:r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345" w:dyaOrig="300">
          <v:shape id="_x0000_i1028" type="#_x0000_t75" style="width:17.25pt;height:15pt" o:ole="" fillcolor="window">
            <v:imagedata r:id="rId11" o:title=""/>
          </v:shape>
          <o:OLEObject Type="Embed" ProgID="Equation.3" ShapeID="_x0000_i1028" DrawAspect="Content" ObjectID="_1616833368" r:id="rId12"/>
        </w:objec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;     </w:t>
      </w:r>
    </w:p>
    <w:p w:rsidR="008B0C05" w:rsidRPr="00085E8C" w:rsidRDefault="008B0C05" w:rsidP="008B0C05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8B0C05" w:rsidRPr="0077571F" w:rsidRDefault="008B0C05" w:rsidP="008B0C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б) для шахматных пучков</w:t>
      </w:r>
    </w:p>
    <w:p w:rsidR="008B0C05" w:rsidRPr="0077571F" w:rsidRDefault="008B0C05" w:rsidP="008B0C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B0C05" w:rsidRPr="00085E8C" w:rsidRDefault="008B0C05" w:rsidP="008B0C05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Nu</w: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=  0,021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Pr="00085E8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0,84</w: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345" w:dyaOrig="300">
          <v:shape id="_x0000_i1029" type="#_x0000_t75" style="width:17.25pt;height:15pt" o:ole="" fillcolor="window">
            <v:imagedata r:id="rId5" o:title=""/>
          </v:shape>
          <o:OLEObject Type="Embed" ProgID="Equation.3" ShapeID="_x0000_i1029" DrawAspect="Content" ObjectID="_1616833369" r:id="rId13"/>
        </w:objec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(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12"/>
          <w:sz w:val="28"/>
          <w:szCs w:val="24"/>
          <w:lang w:val="en-US" w:eastAsia="ru-RU"/>
        </w:rPr>
        <w:object w:dxaOrig="225" w:dyaOrig="360">
          <v:shape id="_x0000_i1030" type="#_x0000_t75" style="width:11.25pt;height:18pt" o:ole="" fillcolor="window">
            <v:imagedata r:id="rId7" o:title=""/>
          </v:shape>
          <o:OLEObject Type="Embed" ProgID="Equation.3" ShapeID="_x0000_i1030" DrawAspect="Content" ObjectID="_1616833370" r:id="rId14"/>
        </w:objec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/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12"/>
          <w:sz w:val="28"/>
          <w:szCs w:val="24"/>
          <w:lang w:val="en-US" w:eastAsia="ru-RU"/>
        </w:rPr>
        <w:object w:dxaOrig="240" w:dyaOrig="360">
          <v:shape id="_x0000_i1031" type="#_x0000_t75" style="width:12pt;height:18pt" o:ole="" fillcolor="window">
            <v:imagedata r:id="rId9" o:title=""/>
          </v:shape>
          <o:OLEObject Type="Embed" ProgID="Equation.3" ShapeID="_x0000_i1031" DrawAspect="Content" ObjectID="_1616833371" r:id="rId15"/>
        </w:objec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)</w:t>
      </w:r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345" w:dyaOrig="300">
          <v:shape id="_x0000_i1032" type="#_x0000_t75" style="width:17.25pt;height:15pt" o:ole="" fillcolor="window">
            <v:imagedata r:id="rId11" o:title=""/>
          </v:shape>
          <o:OLEObject Type="Embed" ProgID="Equation.3" ShapeID="_x0000_i1032" DrawAspect="Content" ObjectID="_1616833372" r:id="rId16"/>
        </w:object>
      </w:r>
      <w:r w:rsidRPr="00085E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;      </w:t>
      </w:r>
    </w:p>
    <w:p w:rsidR="008B0C05" w:rsidRPr="00085E8C" w:rsidRDefault="008B0C05" w:rsidP="008B0C05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8B0C05" w:rsidRPr="0077571F" w:rsidRDefault="008B0C05" w:rsidP="008B0C05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Оказалось, что показатель степени “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” при числе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="00AC12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(табл. 1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) более зависит от шаговых характеристик пучка, чем при смешанном обтекании. При смешанном обтекании, как видно из табл. 1 показатель степени “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” равен   0,6  для шахматного, и     0,5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sym w:font="Symbol" w:char="F0B8"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0,65  - для коридорного.</w:t>
      </w:r>
    </w:p>
    <w:p w:rsidR="008B0C05" w:rsidRDefault="008B0C05" w:rsidP="008B0C05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</w:p>
    <w:p w:rsidR="00AC1212" w:rsidRPr="0077571F" w:rsidRDefault="00AC1212" w:rsidP="008B0C05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</w:p>
    <w:p w:rsidR="008B0C05" w:rsidRPr="0077571F" w:rsidRDefault="008B0C05" w:rsidP="008B0C05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</w:p>
    <w:p w:rsidR="008B0C05" w:rsidRPr="0077571F" w:rsidRDefault="00AC1212" w:rsidP="008B0C05">
      <w:pPr>
        <w:keepNext/>
        <w:spacing w:after="0" w:line="240" w:lineRule="auto"/>
        <w:ind w:left="435"/>
        <w:jc w:val="right"/>
        <w:outlineLvl w:val="4"/>
        <w:rPr>
          <w:rFonts w:ascii="Times New Roman" w:eastAsia="Times New Roman" w:hAnsi="Times New Roman" w:cs="Times New Roman"/>
          <w:sz w:val="28"/>
          <w:szCs w:val="20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ko-KR"/>
        </w:rPr>
        <w:lastRenderedPageBreak/>
        <w:t>Таблица 1</w:t>
      </w:r>
    </w:p>
    <w:p w:rsidR="008B0C05" w:rsidRPr="0077571F" w:rsidRDefault="008B0C05" w:rsidP="008B0C05">
      <w:pPr>
        <w:spacing w:after="0" w:line="240" w:lineRule="auto"/>
        <w:ind w:left="435" w:firstLine="28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Изменение показателя степени 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“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” при </w:t>
      </w:r>
      <w:proofErr w:type="gramStart"/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числе 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proofErr w:type="gram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области высоких чисел, полученная в различных исследованиях</w:t>
      </w:r>
    </w:p>
    <w:tbl>
      <w:tblPr>
        <w:tblW w:w="0" w:type="auto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2175"/>
        <w:gridCol w:w="1087"/>
        <w:gridCol w:w="1276"/>
        <w:gridCol w:w="1417"/>
        <w:gridCol w:w="1701"/>
        <w:gridCol w:w="924"/>
      </w:tblGrid>
      <w:tr w:rsidR="008B0C05" w:rsidRPr="0077571F" w:rsidTr="003771FE">
        <w:trPr>
          <w:trHeight w:val="8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№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0C05" w:rsidRPr="0077571F" w:rsidRDefault="008B0C05" w:rsidP="003771F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Авторы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тепло-носи-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пучка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20" w:dyaOrig="345">
                <v:shape id="_x0000_i1033" type="#_x0000_t75" style="width:6pt;height:17.25pt" o:ole="" fillcolor="window">
                  <v:imagedata r:id="rId17" o:title=""/>
                </v:shape>
                <o:OLEObject Type="Embed" ProgID="Equation.3" ShapeID="_x0000_i1033" DrawAspect="Content" ObjectID="_1616833373" r:id="rId18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 xml:space="preserve">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65" w:dyaOrig="345">
                <v:shape id="_x0000_i1034" type="#_x0000_t75" style="width:8.25pt;height:17.25pt" o:ole="" fillcolor="window">
                  <v:imagedata r:id="rId19" o:title=""/>
                </v:shape>
                <o:OLEObject Type="Embed" ProgID="Equation.3" ShapeID="_x0000_i1034" DrawAspect="Content" ObjectID="_1616833374" r:id="rId20"/>
              </w:obje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0C05" w:rsidRPr="0077571F" w:rsidRDefault="008B0C05" w:rsidP="003771F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Зона числа</w:t>
            </w:r>
          </w:p>
          <w:p w:rsidR="008B0C05" w:rsidRPr="0077571F" w:rsidRDefault="008B0C05" w:rsidP="003771FE">
            <w:pPr>
              <w:spacing w:after="0" w:line="240" w:lineRule="auto"/>
              <w:rPr>
                <w:rFonts w:ascii="Courier" w:eastAsia="Times New Roman" w:hAnsi="Courier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</w:p>
        </w:tc>
      </w:tr>
      <w:tr w:rsidR="008B0C05" w:rsidRPr="0077571F" w:rsidTr="003771FE">
        <w:trPr>
          <w:trHeight w:val="30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7</w:t>
            </w:r>
          </w:p>
        </w:tc>
      </w:tr>
      <w:tr w:rsidR="008B0C05" w:rsidRPr="0077571F" w:rsidTr="003771FE">
        <w:trPr>
          <w:trHeight w:val="11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Стасилявичус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Самошка</w:t>
            </w:r>
            <w:proofErr w:type="spellEnd"/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953F6F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 3-5</w:t>
            </w:r>
            <w:r w:rsidR="008B0C05"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/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воздух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воздух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gram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шахмат-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ный</w:t>
            </w:r>
            <w:proofErr w:type="spellEnd"/>
            <w:proofErr w:type="gramEnd"/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коридор-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ный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2,48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1,28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1,47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1,04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1,26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0,96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1,58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1,37</w:t>
            </w:r>
          </w:p>
          <w:p w:rsidR="008B0C05" w:rsidRPr="0077571F" w:rsidRDefault="008B0C05" w:rsidP="00377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1,6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1,7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1,68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2,26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1,89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1,6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2,6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1,9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9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4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1,25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1,4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0,93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0,79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0,8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0,84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0,76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0,92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0,89</w:t>
            </w:r>
          </w:p>
        </w:tc>
      </w:tr>
      <w:tr w:rsidR="008B0C05" w:rsidRPr="0077571F" w:rsidTr="003771FE">
        <w:trPr>
          <w:trHeight w:val="6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Ляпин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  <w:p w:rsidR="008B0C05" w:rsidRPr="0077571F" w:rsidRDefault="00953F6F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/6</w:t>
            </w:r>
            <w:r w:rsidR="008B0C05"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/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воздух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шахматн.коридор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1,28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1,50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1,28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1,50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(1,3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5)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(1,1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5)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0,97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0,79</w:t>
            </w:r>
          </w:p>
        </w:tc>
      </w:tr>
      <w:tr w:rsidR="008B0C05" w:rsidRPr="0077571F" w:rsidTr="003771FE">
        <w:trPr>
          <w:trHeight w:val="5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Двайер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и др.</w:t>
            </w:r>
          </w:p>
          <w:p w:rsidR="008B0C05" w:rsidRPr="0077571F" w:rsidRDefault="00953F6F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 7</w:t>
            </w:r>
            <w:r w:rsidR="008B0C05"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/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шахмат.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1,58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1,37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(0,8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12)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0,8</w:t>
            </w:r>
          </w:p>
        </w:tc>
      </w:tr>
      <w:tr w:rsidR="008B0C05" w:rsidRPr="0077571F" w:rsidTr="003771FE">
        <w:trPr>
          <w:trHeight w:val="11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Жукаускас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Марцинаускас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Улинскас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  <w:p w:rsidR="008B0C05" w:rsidRPr="0077571F" w:rsidRDefault="00953F6F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 8</w:t>
            </w:r>
            <w:r w:rsidR="008B0C05"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/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шахмат.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коридор.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коридор.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2,0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2,0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1,09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2,0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(5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10)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(2,5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10)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(2,0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10)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0,8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0,7</w:t>
            </w:r>
          </w:p>
          <w:p w:rsidR="008B0C05" w:rsidRPr="0077571F" w:rsidRDefault="008B0C05" w:rsidP="0037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   0,92</w:t>
            </w:r>
          </w:p>
        </w:tc>
      </w:tr>
      <w:tr w:rsidR="008B0C05" w:rsidRPr="0077571F" w:rsidTr="003771FE">
        <w:trPr>
          <w:trHeight w:val="111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Пошкас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Сурвила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Жукаускас</w:t>
            </w:r>
            <w:proofErr w:type="spellEnd"/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953F6F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/9, 10</w:t>
            </w:r>
            <w:r w:rsidR="008B0C05"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/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воздух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шахматн.шахматн.коридор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1,25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1,50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1,50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1,25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(2,4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30)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(2,0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14)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(2,0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25)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0,8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0,8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0,74</w:t>
            </w:r>
          </w:p>
        </w:tc>
      </w:tr>
      <w:tr w:rsidR="008B0C05" w:rsidRPr="0077571F" w:rsidTr="003771FE">
        <w:trPr>
          <w:trHeight w:val="58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Гамека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и др.</w:t>
            </w:r>
          </w:p>
          <w:p w:rsidR="008B0C05" w:rsidRPr="0077571F" w:rsidRDefault="00953F6F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 11</w:t>
            </w:r>
            <w:r w:rsidR="008B0C05"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/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воздух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СО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ko-KR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шахматн</w:t>
            </w:r>
            <w:proofErr w:type="spellEnd"/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шахматн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2,06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1,38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2,06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(2,2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20)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(2,0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20)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0,96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0,82</w:t>
            </w:r>
          </w:p>
        </w:tc>
      </w:tr>
      <w:tr w:rsidR="008B0C05" w:rsidRPr="0077571F" w:rsidTr="003771FE">
        <w:trPr>
          <w:trHeight w:val="976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Швегджа</w:t>
            </w:r>
            <w:proofErr w:type="spellEnd"/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  <w:p w:rsidR="008B0C05" w:rsidRPr="0077571F" w:rsidRDefault="00953F6F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/12,13</w:t>
            </w:r>
            <w:r w:rsidR="008B0C05"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/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вода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вода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шахматн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коридор.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коридорн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1,25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1,25 1,25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1,25 1,2 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4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(10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 xml:space="preserve">5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10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6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)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(10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 xml:space="preserve">5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10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6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)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(10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 xml:space="preserve">5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sym w:font="Symbol" w:char="F0B8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10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ko-KR"/>
              </w:rPr>
              <w:t>6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0,85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0,82</w:t>
            </w:r>
          </w:p>
          <w:p w:rsidR="008B0C05" w:rsidRPr="0077571F" w:rsidRDefault="008B0C05" w:rsidP="003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0,83</w:t>
            </w:r>
          </w:p>
        </w:tc>
      </w:tr>
    </w:tbl>
    <w:p w:rsidR="008B0C05" w:rsidRPr="0077571F" w:rsidRDefault="008B0C05" w:rsidP="008B0C05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</w:p>
    <w:p w:rsidR="008B0C05" w:rsidRDefault="007570B2" w:rsidP="008B0C05">
      <w:pPr>
        <w:tabs>
          <w:tab w:val="left" w:pos="0"/>
        </w:tabs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ko-KR"/>
        </w:rPr>
        <w:tab/>
        <w:t>Из таблицы 1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видно, что показатель 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“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” колеблется в пределах 0,7 до 0,96. На графике   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Nu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– </w:t>
      </w:r>
      <w:proofErr w:type="gramStart"/>
      <w:r w:rsidR="008B0C05" w:rsidRPr="0077571F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Re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 это</w:t>
      </w:r>
      <w:proofErr w:type="gramEnd"/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приведет к резкому возрастанию теплоотдачи с ростом  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Re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>, т.е. можно интенсифицировать теплообмен за счет увеличения скорости набегающего потока. Но на практике часто оказывается, наиболее оптимальным является теплообменник способный передать заданный тепловой поток при наименьших затратах на передвижение теплоносите</w:t>
      </w:r>
      <w:r w:rsidR="008B0C05">
        <w:rPr>
          <w:rFonts w:ascii="Times New Roman" w:eastAsia="Times New Roman" w:hAnsi="Times New Roman" w:cs="Times New Roman"/>
          <w:sz w:val="28"/>
          <w:szCs w:val="24"/>
          <w:lang w:eastAsia="ko-KR"/>
        </w:rPr>
        <w:t>ля. Также увеличению скорости ух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одящих газов в современных котельных агрегатах, сжигающих низкосортные угли, препятствует сильный </w:t>
      </w:r>
      <w:proofErr w:type="spellStart"/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>золевой</w:t>
      </w:r>
      <w:proofErr w:type="spellEnd"/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износ теплообменных поверхностей. </w:t>
      </w:r>
    </w:p>
    <w:p w:rsidR="008B0C05" w:rsidRPr="0077571F" w:rsidRDefault="00953F6F" w:rsidP="008B0C05">
      <w:pPr>
        <w:tabs>
          <w:tab w:val="left" w:pos="0"/>
        </w:tabs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ko-KR"/>
        </w:rPr>
        <w:t>Как утверждают авторы /14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ko-KR"/>
        </w:rPr>
        <w:t>15</w:t>
      </w:r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/ коэффициент </w:t>
      </w:r>
      <w:proofErr w:type="spellStart"/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>золового</w:t>
      </w:r>
      <w:proofErr w:type="spellEnd"/>
      <w:r w:rsidR="008B0C05"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износа находиться в зависимости от скорости в третьей степени:</w:t>
      </w:r>
    </w:p>
    <w:p w:rsidR="007570B2" w:rsidRDefault="008B0C05" w:rsidP="008B0C05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lastRenderedPageBreak/>
        <w:t xml:space="preserve">К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vertAlign w:val="subscript"/>
          <w:lang w:eastAsia="ko-KR"/>
        </w:rPr>
        <w:t>изн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 =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sym w:font="Symbol" w:char="F0A6"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(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W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</w:t>
      </w:r>
      <w:r w:rsidRPr="0077571F">
        <w:rPr>
          <w:rFonts w:ascii="Times New Roman" w:eastAsia="Times New Roman" w:hAnsi="Times New Roman" w:cs="Times New Roman"/>
          <w:sz w:val="28"/>
          <w:szCs w:val="24"/>
          <w:vertAlign w:val="subscript"/>
          <w:lang w:eastAsia="ko-KR"/>
        </w:rPr>
        <w:t xml:space="preserve">газ 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) </w:t>
      </w:r>
      <w:r w:rsidRPr="0077571F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ko-KR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;  </w:t>
      </w:r>
    </w:p>
    <w:p w:rsidR="008B0C05" w:rsidRPr="0077571F" w:rsidRDefault="008B0C05" w:rsidP="008B0C05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             </w:t>
      </w:r>
    </w:p>
    <w:p w:rsidR="008B0C05" w:rsidRPr="0077571F" w:rsidRDefault="008B0C05" w:rsidP="008B0C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0"/>
          <w:lang w:eastAsia="ru-RU"/>
        </w:rPr>
        <w:t>В большинстве исследований теплоотдача пучка изучается совместно с аэродинамическим сопротивлением, т. к. выбор рациональной поверхности нагрева предопределяет совместное решение этого вопроса.</w:t>
      </w:r>
    </w:p>
    <w:p w:rsidR="008B0C05" w:rsidRPr="0077571F" w:rsidRDefault="008B0C05" w:rsidP="008B0C05">
      <w:pPr>
        <w:tabs>
          <w:tab w:val="left" w:pos="0"/>
        </w:tabs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ab/>
        <w:t>Аэродинамическое сопротивление пучка зависит от скорости и физических свойств омывающего потока, конфигурации пучка и его рядности, т.е. в безразмерном виде:</w:t>
      </w:r>
    </w:p>
    <w:p w:rsidR="008B0C05" w:rsidRPr="0077571F" w:rsidRDefault="008B0C05" w:rsidP="008B0C05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</w:p>
    <w:p w:rsidR="008B0C05" w:rsidRPr="0077571F" w:rsidRDefault="008B0C05" w:rsidP="008B0C05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Eu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A6"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; 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73"/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20" w:dyaOrig="345">
          <v:shape id="_x0000_i1035" type="#_x0000_t75" style="width:6pt;height:17.25pt" o:ole="" fillcolor="window">
            <v:imagedata r:id="rId17" o:title=""/>
          </v:shape>
          <o:OLEObject Type="Embed" ProgID="Equation.3" ShapeID="_x0000_i1035" DrawAspect="Content" ObjectID="_1616833375" r:id="rId21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73"/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65" w:dyaOrig="345">
          <v:shape id="_x0000_i1036" type="#_x0000_t75" style="width:8.25pt;height:17.25pt" o:ole="" fillcolor="window">
            <v:imagedata r:id="rId19" o:title=""/>
          </v:shape>
          <o:OLEObject Type="Embed" ProgID="Equation.3" ShapeID="_x0000_i1036" DrawAspect="Content" ObjectID="_1616833376" r:id="rId22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z</w:t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65" w:dyaOrig="345">
          <v:shape id="_x0000_i1037" type="#_x0000_t75" style="width:8.25pt;height:17.25pt" o:ole="" fillcolor="window">
            <v:imagedata r:id="rId23" o:title=""/>
          </v:shape>
          <o:OLEObject Type="Embed" ProgID="Equation.3" ShapeID="_x0000_i1037" DrawAspect="Content" ObjectID="_1616833377" r:id="rId24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);                </w:t>
      </w:r>
    </w:p>
    <w:p w:rsidR="008B0C05" w:rsidRPr="0077571F" w:rsidRDefault="008B0C05" w:rsidP="008B0C05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B0C05" w:rsidRPr="0077571F" w:rsidRDefault="008B0C05" w:rsidP="008B0C0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Доказано, что сопротивление пучка в основном определяется сопротивлением формы, а сопротивление трения составляет несколько процентов от общего сопротивления /10/. Как правило, измеряется полное сопротивление пучка, которое относиться к одному ряду пучка или к десяти рядам и обобщается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0"/>
          <w:lang w:eastAsia="ru-RU"/>
        </w:rPr>
        <w:t>критериальной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зависимостью:</w:t>
      </w:r>
    </w:p>
    <w:p w:rsidR="008B0C05" w:rsidRPr="0077571F" w:rsidRDefault="008B0C05" w:rsidP="008B0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proofErr w:type="spellStart"/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Eu</w:t>
      </w:r>
      <w:proofErr w:type="spellEnd"/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= 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k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sym w:font="Symbol" w:char="F0D7"/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Re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vertAlign w:val="superscript"/>
          <w:lang w:val="en-US" w:eastAsia="ru-RU"/>
        </w:rPr>
        <w:t>q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vertAlign w:val="superscript"/>
          <w:lang w:eastAsia="ru-RU"/>
        </w:rPr>
        <w:t xml:space="preserve"> 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sym w:font="Symbol" w:char="F0D7"/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Х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</w:t>
      </w:r>
    </w:p>
    <w:p w:rsidR="008B0C05" w:rsidRPr="0077571F" w:rsidRDefault="008B0C05" w:rsidP="008B0C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Где</w:t>
      </w:r>
      <w:r w:rsidRPr="00775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Х =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z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vertAlign w:val="subscript"/>
          <w:lang w:eastAsia="ru-RU"/>
        </w:rPr>
        <w:t>2</w:t>
      </w:r>
      <w:r w:rsidRPr="0077571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+ 1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- 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>коэффициент, зависящий от количества рядов в пучке.</w:t>
      </w:r>
    </w:p>
    <w:p w:rsidR="008B0C05" w:rsidRDefault="008B0C05" w:rsidP="008B0C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ab/>
        <w:t>Замечено, что с уменьшением числа рядов в пучке потери давления, отнесенные к одному ряду, увеличиваются.</w:t>
      </w:r>
    </w:p>
    <w:p w:rsidR="00953F6F" w:rsidRPr="0077571F" w:rsidRDefault="00953F6F" w:rsidP="008B0C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</w:p>
    <w:p w:rsidR="008B0C05" w:rsidRDefault="008B0C05" w:rsidP="008B0C05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2544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 И Т Е Р А Т У Р А</w:t>
      </w:r>
    </w:p>
    <w:p w:rsidR="007570B2" w:rsidRDefault="007570B2" w:rsidP="008B0C05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Кошелев Г.Н. Выбор характерного линейного размера при обобщении опытных данных </w:t>
      </w:r>
      <w:proofErr w:type="gram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теплоотдачи</w:t>
      </w:r>
      <w:proofErr w:type="gram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пучков труб в потоке газа. // Энергомашиностроение, 1967, №2, с.20-23.</w:t>
      </w:r>
    </w:p>
    <w:p w:rsidR="008B0C05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sz w:val="28"/>
        </w:rPr>
        <w:t xml:space="preserve">Кузнецов Н.В. Теплоотдача и сопротивление в поперечно омываемых пучках труб при различной их компоновке. // </w:t>
      </w:r>
      <w:proofErr w:type="spellStart"/>
      <w:r>
        <w:rPr>
          <w:sz w:val="28"/>
        </w:rPr>
        <w:t>Изв</w:t>
      </w:r>
      <w:proofErr w:type="spellEnd"/>
      <w:r>
        <w:rPr>
          <w:sz w:val="28"/>
        </w:rPr>
        <w:t>. АН ССР, 1937, №5, с.26-31</w:t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Самошка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В.К. Повышение эффективности современных </w:t>
      </w:r>
      <w:proofErr w:type="spellStart"/>
      <w:proofErr w:type="gram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теплообменников.-</w:t>
      </w:r>
      <w:proofErr w:type="gram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Л.:Энергия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, 1980.-141с.</w:t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Кейс В.М., Лондон А.Л. Компактные </w:t>
      </w:r>
      <w:proofErr w:type="gram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теплообменники.-</w:t>
      </w:r>
      <w:proofErr w:type="gram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Госэнергоиздат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, 1962, 260с.</w:t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Жукаускас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А.А. Конвективный перенос в </w:t>
      </w:r>
      <w:proofErr w:type="spellStart"/>
      <w:proofErr w:type="gram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теплообменниках.-</w:t>
      </w:r>
      <w:proofErr w:type="gram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М.:Энергия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, 1986.-с. 472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Стасилявичюс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Ю.Ж.,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Самошка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П.С. Теплоотдача гладкотрубных шахматных пучков в поперечном потоке воздуха при больших </w:t>
      </w:r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– труды АН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>ЛитССР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>, сер. Б., 1963, Т.4(35</w:t>
      </w:r>
      <w:proofErr w:type="gramStart"/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>),с.</w:t>
      </w:r>
      <w:proofErr w:type="gramEnd"/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>120-126.</w:t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Самошко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П.С.,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Стасюлевичус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Ю.Ж. Теплофизические исследования плотно упакованных гладкотрубных шахматных пучков в поперечном потоке воздуха при </w:t>
      </w:r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>до 2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sym w:font="Symbol" w:char="F0D7"/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>10</w:t>
      </w:r>
      <w:r w:rsidRPr="00953F6F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ko-KR"/>
        </w:rPr>
        <w:t>6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// Труды АН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>Лит.ССР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>, Сер.Б.,1965, т.3(42) , с.111-115.</w:t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Самошко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П.С.,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Стасюлевичус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Ю.Ж. Теплофизические исследования коридорных пучков при больших числах </w:t>
      </w:r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газового потока // Теплоэнергетика. 1956.- № </w:t>
      </w:r>
      <w:proofErr w:type="gram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9.-</w:t>
      </w:r>
      <w:proofErr w:type="gram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 49-53.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Ляпин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М.Ф. Теплоотдача и сопротивление гладкотрубных пучков при больших числах </w:t>
      </w:r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газового потока // Теплоэнергетика, №9, 1956, с.49-53.</w:t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DBYER O.R., SSCHEEMAN T.V., WEISMAN I., HORN P.L., SHOMER R, T. GROSS – Flow water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thround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a Tube bank at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Raynolds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Numbera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up to a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Nilion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at und chem. 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1958. </w:t>
      </w:r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Vol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proofErr w:type="gram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48.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>№</w:t>
      </w:r>
      <w:proofErr w:type="gramEnd"/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>10</w:t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Жукаускас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А.А.,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Маруинаускас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К.Ф.,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Улинскас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Р.В. Влияние геометрических характеристик на теплоотдачу труб в области критических чисел (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Re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Рейнольдса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// Сб.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научн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тр. </w:t>
      </w:r>
      <w:proofErr w:type="gram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Механика.-</w:t>
      </w:r>
      <w:proofErr w:type="gram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Каунас, 1974.-с. 26-31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Пошкас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П.С.,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Сурвила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В.Ю.,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Жукаускас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А.А. Местная теплоотдача трубы в поперечно обтекаемом потоком воздуха сжатых шахматных пучках при больших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Re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Труды АН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Лит.ССР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gram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сер.Б</w:t>
      </w:r>
      <w:proofErr w:type="gram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,1977,т.1 (98).</w:t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Жукаускас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А.А.,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Сурвила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И.Ю.,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Пошкас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П.С. Местная теплоотдача трубы в поперечно обтекаемых потоком воздуха стальных шахматных пучках при больших числах (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Re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Рейнольдса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// Труды АН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Лит.ССР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сер.Б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1977.-</w:t>
      </w:r>
      <w:proofErr w:type="gram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т.4 (10).-с. </w:t>
      </w:r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26-31</w:t>
      </w:r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ab/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HAMESKE K., HEINESKE F., SCHOLDS F.,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Warnedbergende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und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Druckverlustmeseungen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an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Guerangeat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ronde –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Iun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I of Heat and Mass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Tranafer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. 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1967. </w:t>
      </w:r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Ba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10,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№4</w:t>
      </w:r>
    </w:p>
    <w:p w:rsidR="00953F6F" w:rsidRPr="00953F6F" w:rsidRDefault="00953F6F" w:rsidP="00953F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Швегзида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Улинкас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Р.,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Жукаускас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 Исследование теплоотдачи и сопротивления поперечно обтекаемых пучков труб в области больших (</w:t>
      </w:r>
      <w:r w:rsidRPr="00953F6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Рейнольдсах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Сб. </w:t>
      </w:r>
      <w:proofErr w:type="spell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научн</w:t>
      </w:r>
      <w:proofErr w:type="spell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тр. «Механика-4», Материалы Литовской </w:t>
      </w:r>
      <w:proofErr w:type="gramStart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>РНТК.-</w:t>
      </w:r>
      <w:proofErr w:type="gramEnd"/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Каунас, 1973.- с. 36-41.</w:t>
      </w:r>
      <w:r w:rsidRPr="00953F6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085E8C" w:rsidRDefault="00085E8C" w:rsidP="00085E8C">
      <w:pPr>
        <w:pStyle w:val="Default"/>
        <w:jc w:val="right"/>
        <w:rPr>
          <w:bCs/>
          <w:sz w:val="28"/>
          <w:szCs w:val="28"/>
        </w:rPr>
      </w:pPr>
    </w:p>
    <w:p w:rsidR="00085E8C" w:rsidRDefault="00085E8C" w:rsidP="00085E8C">
      <w:pPr>
        <w:pStyle w:val="Default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© </w:t>
      </w:r>
      <w:proofErr w:type="spellStart"/>
      <w:r>
        <w:rPr>
          <w:bCs/>
          <w:sz w:val="28"/>
          <w:szCs w:val="28"/>
        </w:rPr>
        <w:t>Д.У.Сугиров</w:t>
      </w:r>
      <w:proofErr w:type="spellEnd"/>
      <w:r>
        <w:rPr>
          <w:bCs/>
          <w:sz w:val="28"/>
          <w:szCs w:val="28"/>
        </w:rPr>
        <w:t>, 2019.</w:t>
      </w:r>
    </w:p>
    <w:p w:rsidR="00C81550" w:rsidRDefault="00C81550" w:rsidP="00953F6F">
      <w:pPr>
        <w:spacing w:after="0" w:line="240" w:lineRule="auto"/>
        <w:ind w:left="720" w:right="-1"/>
        <w:jc w:val="both"/>
      </w:pPr>
    </w:p>
    <w:sectPr w:rsidR="00C8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338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6B026A3F"/>
    <w:multiLevelType w:val="hybridMultilevel"/>
    <w:tmpl w:val="7DEE6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6A3"/>
    <w:rsid w:val="00085E8C"/>
    <w:rsid w:val="007570B2"/>
    <w:rsid w:val="008B0C05"/>
    <w:rsid w:val="00953F6F"/>
    <w:rsid w:val="00A17C47"/>
    <w:rsid w:val="00A96F31"/>
    <w:rsid w:val="00AC1212"/>
    <w:rsid w:val="00C81550"/>
    <w:rsid w:val="00FC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E374A"/>
  <w15:chartTrackingRefBased/>
  <w15:docId w15:val="{72DD7E86-B10A-47C1-97BC-623C4A39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5E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6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11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5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0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3.bin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23" Type="http://schemas.openxmlformats.org/officeDocument/2006/relationships/image" Target="media/image7.wmf"/><Relationship Id="rId10" Type="http://schemas.openxmlformats.org/officeDocument/2006/relationships/oleObject" Target="embeddings/oleObject3.bin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1042</Words>
  <Characters>5941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2019-04-11T06:14:00Z</dcterms:created>
  <dcterms:modified xsi:type="dcterms:W3CDTF">2019-04-15T06:36:00Z</dcterms:modified>
</cp:coreProperties>
</file>