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C7B" w:rsidRDefault="00027C7B" w:rsidP="00932B9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УДК </w:t>
      </w:r>
      <w:r w:rsidRPr="00027C7B">
        <w:rPr>
          <w:rFonts w:ascii="Times New Roman" w:hAnsi="Times New Roman" w:cs="Times New Roman"/>
          <w:sz w:val="28"/>
          <w:szCs w:val="28"/>
        </w:rPr>
        <w:t>338.</w:t>
      </w:r>
      <w:r>
        <w:rPr>
          <w:rFonts w:ascii="Times New Roman" w:hAnsi="Times New Roman" w:cs="Times New Roman"/>
          <w:sz w:val="28"/>
          <w:szCs w:val="28"/>
        </w:rPr>
        <w:t>1</w:t>
      </w:r>
    </w:p>
    <w:p w:rsidR="00932B96" w:rsidRDefault="00932B96" w:rsidP="00932B96">
      <w:pPr>
        <w:spacing w:after="0" w:line="360" w:lineRule="auto"/>
        <w:jc w:val="both"/>
        <w:rPr>
          <w:rFonts w:ascii="Times New Roman" w:hAnsi="Times New Roman" w:cs="Times New Roman"/>
          <w:sz w:val="28"/>
          <w:szCs w:val="28"/>
        </w:rPr>
      </w:pPr>
    </w:p>
    <w:p w:rsidR="0030081F" w:rsidRDefault="00754E6B" w:rsidP="00932B96">
      <w:pPr>
        <w:spacing w:after="0" w:line="360" w:lineRule="auto"/>
        <w:jc w:val="both"/>
        <w:rPr>
          <w:rFonts w:ascii="Times New Roman" w:hAnsi="Times New Roman" w:cs="Times New Roman"/>
          <w:b/>
          <w:sz w:val="28"/>
          <w:szCs w:val="28"/>
        </w:rPr>
      </w:pPr>
      <w:r w:rsidRPr="00681048">
        <w:rPr>
          <w:rFonts w:ascii="Times New Roman" w:hAnsi="Times New Roman" w:cs="Times New Roman"/>
          <w:b/>
          <w:sz w:val="28"/>
          <w:szCs w:val="28"/>
        </w:rPr>
        <w:t>Инновационная деятельность как путь развития экономики</w:t>
      </w:r>
      <w:r w:rsidR="00681048" w:rsidRPr="00681048">
        <w:rPr>
          <w:rFonts w:ascii="Times New Roman" w:hAnsi="Times New Roman" w:cs="Times New Roman"/>
          <w:b/>
          <w:sz w:val="28"/>
          <w:szCs w:val="28"/>
        </w:rPr>
        <w:t xml:space="preserve"> (на примере ПАО «Сургутнефтегаз»)</w:t>
      </w:r>
    </w:p>
    <w:p w:rsidR="00932B96" w:rsidRDefault="00932B96" w:rsidP="00932B96">
      <w:pPr>
        <w:spacing w:after="0" w:line="360" w:lineRule="auto"/>
        <w:jc w:val="both"/>
        <w:rPr>
          <w:rFonts w:ascii="Times New Roman" w:hAnsi="Times New Roman" w:cs="Times New Roman"/>
          <w:b/>
          <w:sz w:val="28"/>
          <w:szCs w:val="28"/>
        </w:rPr>
      </w:pPr>
    </w:p>
    <w:p w:rsidR="00681048" w:rsidRDefault="00681048" w:rsidP="00932B9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Абрамова Е.Н.</w:t>
      </w:r>
    </w:p>
    <w:p w:rsidR="00932B96" w:rsidRDefault="00932B96" w:rsidP="00932B96">
      <w:pPr>
        <w:spacing w:after="0" w:line="360" w:lineRule="auto"/>
        <w:jc w:val="both"/>
        <w:rPr>
          <w:rFonts w:ascii="Times New Roman" w:hAnsi="Times New Roman" w:cs="Times New Roman"/>
          <w:sz w:val="28"/>
          <w:szCs w:val="28"/>
        </w:rPr>
      </w:pPr>
    </w:p>
    <w:p w:rsidR="00681048" w:rsidRDefault="00681048" w:rsidP="00932B9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магистр 1-го курса </w:t>
      </w:r>
      <w:r w:rsidR="00932B96" w:rsidRPr="00932B96">
        <w:rPr>
          <w:rFonts w:ascii="Times New Roman" w:hAnsi="Times New Roman" w:cs="Times New Roman"/>
          <w:sz w:val="28"/>
          <w:szCs w:val="28"/>
        </w:rPr>
        <w:t>ФГБОУ ВПО</w:t>
      </w:r>
      <w:r w:rsidR="00932B96">
        <w:rPr>
          <w:rFonts w:ascii="Times New Roman" w:hAnsi="Times New Roman" w:cs="Times New Roman"/>
          <w:sz w:val="28"/>
          <w:szCs w:val="28"/>
        </w:rPr>
        <w:t xml:space="preserve"> Альметьевский Государственный Нефтяной Институт, Альметьевск, Республика Татарстан, Российская Федерация, улица Ленина дом 2, </w:t>
      </w:r>
      <w:r w:rsidR="00932B96">
        <w:rPr>
          <w:rFonts w:ascii="Times New Roman" w:hAnsi="Times New Roman" w:cs="Times New Roman"/>
          <w:sz w:val="28"/>
          <w:szCs w:val="28"/>
          <w:lang w:val="en-US"/>
        </w:rPr>
        <w:t>e</w:t>
      </w:r>
      <w:r w:rsidR="00932B96" w:rsidRPr="00932B96">
        <w:rPr>
          <w:rFonts w:ascii="Times New Roman" w:hAnsi="Times New Roman" w:cs="Times New Roman"/>
          <w:sz w:val="28"/>
          <w:szCs w:val="28"/>
        </w:rPr>
        <w:t>-</w:t>
      </w:r>
      <w:r w:rsidR="00932B96">
        <w:rPr>
          <w:rFonts w:ascii="Times New Roman" w:hAnsi="Times New Roman" w:cs="Times New Roman"/>
          <w:sz w:val="28"/>
          <w:szCs w:val="28"/>
          <w:lang w:val="en-US"/>
        </w:rPr>
        <w:t>mail</w:t>
      </w:r>
      <w:r w:rsidR="00932B96">
        <w:rPr>
          <w:rFonts w:ascii="Times New Roman" w:hAnsi="Times New Roman" w:cs="Times New Roman"/>
          <w:sz w:val="28"/>
          <w:szCs w:val="28"/>
        </w:rPr>
        <w:t xml:space="preserve">: </w:t>
      </w:r>
      <w:proofErr w:type="spellStart"/>
      <w:r w:rsidR="00932B96">
        <w:rPr>
          <w:rFonts w:ascii="Times New Roman" w:hAnsi="Times New Roman" w:cs="Times New Roman"/>
          <w:sz w:val="28"/>
          <w:szCs w:val="28"/>
          <w:lang w:val="en-US"/>
        </w:rPr>
        <w:t>Abramova</w:t>
      </w:r>
      <w:proofErr w:type="spellEnd"/>
      <w:r w:rsidR="00932B96" w:rsidRPr="00932B96">
        <w:rPr>
          <w:rFonts w:ascii="Times New Roman" w:hAnsi="Times New Roman" w:cs="Times New Roman"/>
          <w:sz w:val="28"/>
          <w:szCs w:val="28"/>
        </w:rPr>
        <w:t>10@</w:t>
      </w:r>
      <w:r w:rsidR="00932B96">
        <w:rPr>
          <w:rFonts w:ascii="Times New Roman" w:hAnsi="Times New Roman" w:cs="Times New Roman"/>
          <w:sz w:val="28"/>
          <w:szCs w:val="28"/>
          <w:lang w:val="en-US"/>
        </w:rPr>
        <w:t>mail</w:t>
      </w:r>
      <w:r w:rsidR="00932B96" w:rsidRPr="00932B96">
        <w:rPr>
          <w:rFonts w:ascii="Times New Roman" w:hAnsi="Times New Roman" w:cs="Times New Roman"/>
          <w:sz w:val="28"/>
          <w:szCs w:val="28"/>
        </w:rPr>
        <w:t>.</w:t>
      </w:r>
      <w:proofErr w:type="spellStart"/>
      <w:r w:rsidR="00932B96">
        <w:rPr>
          <w:rFonts w:ascii="Times New Roman" w:hAnsi="Times New Roman" w:cs="Times New Roman"/>
          <w:sz w:val="28"/>
          <w:szCs w:val="28"/>
          <w:lang w:val="en-US"/>
        </w:rPr>
        <w:t>ru</w:t>
      </w:r>
      <w:proofErr w:type="spellEnd"/>
    </w:p>
    <w:p w:rsidR="00932B96" w:rsidRDefault="00932B96" w:rsidP="00932B96">
      <w:pPr>
        <w:spacing w:after="0" w:line="360" w:lineRule="auto"/>
        <w:jc w:val="both"/>
        <w:rPr>
          <w:rFonts w:ascii="Times New Roman" w:hAnsi="Times New Roman" w:cs="Times New Roman"/>
          <w:sz w:val="28"/>
          <w:szCs w:val="28"/>
        </w:rPr>
      </w:pPr>
    </w:p>
    <w:p w:rsidR="00BF3BA0" w:rsidRDefault="00932B96" w:rsidP="00BF3BA0">
      <w:pPr>
        <w:spacing w:after="0" w:line="360" w:lineRule="auto"/>
        <w:jc w:val="both"/>
        <w:rPr>
          <w:rFonts w:ascii="Times New Roman" w:hAnsi="Times New Roman" w:cs="Times New Roman"/>
          <w:sz w:val="28"/>
          <w:szCs w:val="28"/>
        </w:rPr>
      </w:pPr>
      <w:r w:rsidRPr="00932B96">
        <w:rPr>
          <w:rFonts w:ascii="Times New Roman" w:hAnsi="Times New Roman" w:cs="Times New Roman"/>
          <w:b/>
          <w:sz w:val="28"/>
          <w:szCs w:val="28"/>
        </w:rPr>
        <w:t xml:space="preserve">Аннотация. </w:t>
      </w:r>
      <w:r w:rsidRPr="00932B96">
        <w:rPr>
          <w:rFonts w:ascii="Times New Roman" w:hAnsi="Times New Roman" w:cs="Times New Roman"/>
          <w:sz w:val="28"/>
          <w:szCs w:val="28"/>
        </w:rPr>
        <w:t>Д</w:t>
      </w:r>
      <w:r>
        <w:rPr>
          <w:rFonts w:ascii="Times New Roman" w:hAnsi="Times New Roman" w:cs="Times New Roman"/>
          <w:sz w:val="28"/>
          <w:szCs w:val="28"/>
        </w:rPr>
        <w:t>а</w:t>
      </w:r>
      <w:r w:rsidRPr="00932B96">
        <w:rPr>
          <w:rFonts w:ascii="Times New Roman" w:hAnsi="Times New Roman" w:cs="Times New Roman"/>
          <w:sz w:val="28"/>
          <w:szCs w:val="28"/>
        </w:rPr>
        <w:t>нная стать</w:t>
      </w:r>
      <w:r>
        <w:rPr>
          <w:rFonts w:ascii="Times New Roman" w:hAnsi="Times New Roman" w:cs="Times New Roman"/>
          <w:sz w:val="28"/>
          <w:szCs w:val="28"/>
        </w:rPr>
        <w:t xml:space="preserve">я посвящена актуальному </w:t>
      </w:r>
      <w:r w:rsidR="00971815">
        <w:rPr>
          <w:rFonts w:ascii="Times New Roman" w:hAnsi="Times New Roman" w:cs="Times New Roman"/>
          <w:sz w:val="28"/>
          <w:szCs w:val="28"/>
        </w:rPr>
        <w:t>вопросу, связанному</w:t>
      </w:r>
      <w:r>
        <w:rPr>
          <w:rFonts w:ascii="Times New Roman" w:hAnsi="Times New Roman" w:cs="Times New Roman"/>
          <w:sz w:val="28"/>
          <w:szCs w:val="28"/>
        </w:rPr>
        <w:t xml:space="preserve"> с</w:t>
      </w:r>
      <w:r w:rsidR="00971815">
        <w:rPr>
          <w:rFonts w:ascii="Times New Roman" w:hAnsi="Times New Roman" w:cs="Times New Roman"/>
          <w:sz w:val="28"/>
          <w:szCs w:val="28"/>
        </w:rPr>
        <w:t xml:space="preserve"> разработкой и внедрением новых видов продукции, технологии и услуг, что является ключевым фактором конкурентоспособности. </w:t>
      </w:r>
      <w:r>
        <w:rPr>
          <w:rFonts w:ascii="Times New Roman" w:hAnsi="Times New Roman" w:cs="Times New Roman"/>
          <w:sz w:val="28"/>
          <w:szCs w:val="28"/>
        </w:rPr>
        <w:t xml:space="preserve"> </w:t>
      </w:r>
      <w:r w:rsidR="00030F11">
        <w:rPr>
          <w:rFonts w:ascii="Times New Roman" w:hAnsi="Times New Roman" w:cs="Times New Roman"/>
          <w:sz w:val="28"/>
          <w:szCs w:val="28"/>
        </w:rPr>
        <w:t>Сегодня, с</w:t>
      </w:r>
      <w:r w:rsidR="00971815" w:rsidRPr="00754E6B">
        <w:rPr>
          <w:rFonts w:ascii="Times New Roman" w:hAnsi="Times New Roman" w:cs="Times New Roman"/>
          <w:sz w:val="28"/>
          <w:szCs w:val="28"/>
        </w:rPr>
        <w:t>ерьезной проблемой в деятельности нефтяных компаний по-прежнему остаются устаревшие оборудование и технологии, особенно в нефтепереработке, что не позволяет им успешно конкурировать на рынке нефтепродуктов с иностранными компаниями.</w:t>
      </w:r>
      <w:r w:rsidR="00971815">
        <w:rPr>
          <w:rFonts w:ascii="Times New Roman" w:hAnsi="Times New Roman" w:cs="Times New Roman"/>
          <w:sz w:val="28"/>
          <w:szCs w:val="28"/>
        </w:rPr>
        <w:t xml:space="preserve"> В следствие с этим, б</w:t>
      </w:r>
      <w:r>
        <w:rPr>
          <w:rFonts w:ascii="Times New Roman" w:hAnsi="Times New Roman" w:cs="Times New Roman"/>
          <w:sz w:val="28"/>
          <w:szCs w:val="28"/>
        </w:rPr>
        <w:t>ыли рассмотрены теоретические аспекты изучения инновационной деятельности,</w:t>
      </w:r>
      <w:r w:rsidR="00971815">
        <w:rPr>
          <w:rFonts w:ascii="Times New Roman" w:hAnsi="Times New Roman" w:cs="Times New Roman"/>
          <w:sz w:val="28"/>
          <w:szCs w:val="28"/>
        </w:rPr>
        <w:t xml:space="preserve"> а также</w:t>
      </w:r>
      <w:r w:rsidR="00030F11">
        <w:rPr>
          <w:rFonts w:ascii="Times New Roman" w:hAnsi="Times New Roman" w:cs="Times New Roman"/>
          <w:sz w:val="28"/>
          <w:szCs w:val="28"/>
        </w:rPr>
        <w:t xml:space="preserve"> изучена</w:t>
      </w:r>
      <w:r w:rsidR="00971815">
        <w:rPr>
          <w:rFonts w:ascii="Times New Roman" w:hAnsi="Times New Roman" w:cs="Times New Roman"/>
          <w:sz w:val="28"/>
          <w:szCs w:val="28"/>
        </w:rPr>
        <w:t xml:space="preserve"> ее значимость в современном мире. Был проведен анализ деятельности</w:t>
      </w:r>
      <w:r w:rsidR="00971815">
        <w:rPr>
          <w:rFonts w:ascii="Times New Roman" w:hAnsi="Times New Roman" w:cs="Times New Roman"/>
          <w:sz w:val="28"/>
          <w:szCs w:val="28"/>
        </w:rPr>
        <w:t xml:space="preserve"> частной вертикально интегрированной нефтяной компании </w:t>
      </w:r>
      <w:r w:rsidR="00971815" w:rsidRPr="00932B96">
        <w:rPr>
          <w:rFonts w:ascii="Times New Roman" w:hAnsi="Times New Roman" w:cs="Times New Roman"/>
          <w:sz w:val="28"/>
          <w:szCs w:val="28"/>
        </w:rPr>
        <w:t>России</w:t>
      </w:r>
      <w:r w:rsidR="00971815">
        <w:rPr>
          <w:rFonts w:ascii="Times New Roman" w:hAnsi="Times New Roman" w:cs="Times New Roman"/>
          <w:sz w:val="28"/>
          <w:szCs w:val="28"/>
        </w:rPr>
        <w:t xml:space="preserve"> ПАО «Сургутнефтегаз»</w:t>
      </w:r>
      <w:r w:rsidR="00971815">
        <w:rPr>
          <w:rFonts w:ascii="Times New Roman" w:hAnsi="Times New Roman" w:cs="Times New Roman"/>
          <w:sz w:val="28"/>
          <w:szCs w:val="28"/>
        </w:rPr>
        <w:t>, в ходе которо</w:t>
      </w:r>
      <w:r w:rsidR="00BF3BA0">
        <w:rPr>
          <w:rFonts w:ascii="Times New Roman" w:hAnsi="Times New Roman" w:cs="Times New Roman"/>
          <w:sz w:val="28"/>
          <w:szCs w:val="28"/>
        </w:rPr>
        <w:t xml:space="preserve">го была рассмотрена </w:t>
      </w:r>
      <w:r w:rsidR="00971815">
        <w:rPr>
          <w:rFonts w:ascii="Times New Roman" w:hAnsi="Times New Roman" w:cs="Times New Roman"/>
          <w:sz w:val="28"/>
          <w:szCs w:val="28"/>
        </w:rPr>
        <w:t xml:space="preserve">динамика </w:t>
      </w:r>
      <w:r w:rsidR="00BF3BA0">
        <w:rPr>
          <w:rFonts w:ascii="Times New Roman" w:hAnsi="Times New Roman" w:cs="Times New Roman"/>
          <w:sz w:val="28"/>
          <w:szCs w:val="28"/>
        </w:rPr>
        <w:t xml:space="preserve">развития ключевых финансовых показателей за период </w:t>
      </w:r>
      <w:r w:rsidR="00030F11">
        <w:rPr>
          <w:rFonts w:ascii="Times New Roman" w:hAnsi="Times New Roman" w:cs="Times New Roman"/>
          <w:sz w:val="28"/>
          <w:szCs w:val="28"/>
        </w:rPr>
        <w:t xml:space="preserve">с </w:t>
      </w:r>
      <w:r w:rsidR="00BF3BA0">
        <w:rPr>
          <w:rFonts w:ascii="Times New Roman" w:hAnsi="Times New Roman" w:cs="Times New Roman"/>
          <w:sz w:val="28"/>
          <w:szCs w:val="28"/>
        </w:rPr>
        <w:t>2012</w:t>
      </w:r>
      <w:r w:rsidR="00030F11">
        <w:rPr>
          <w:rFonts w:ascii="Times New Roman" w:hAnsi="Times New Roman" w:cs="Times New Roman"/>
          <w:sz w:val="28"/>
          <w:szCs w:val="28"/>
        </w:rPr>
        <w:t xml:space="preserve"> по </w:t>
      </w:r>
      <w:r w:rsidR="00BF3BA0">
        <w:rPr>
          <w:rFonts w:ascii="Times New Roman" w:hAnsi="Times New Roman" w:cs="Times New Roman"/>
          <w:sz w:val="28"/>
          <w:szCs w:val="28"/>
        </w:rPr>
        <w:t xml:space="preserve">2016 год: выручка от реализации продукции, прибыль с продаж, добыча нефти.  В процессе исследования были выявлены основные виды рационализаторских работ и инновационных технологий, которые внедряет ПАО «Сургутнефтегаз». Проиллюстрирован экономический эффект от внедрения данных  технологий. Проделанная работа подводит итоги  </w:t>
      </w:r>
      <w:r>
        <w:rPr>
          <w:rFonts w:ascii="Times New Roman" w:hAnsi="Times New Roman" w:cs="Times New Roman"/>
          <w:sz w:val="28"/>
          <w:szCs w:val="28"/>
        </w:rPr>
        <w:t>анализ</w:t>
      </w:r>
      <w:r w:rsidR="00BF3BA0">
        <w:rPr>
          <w:rFonts w:ascii="Times New Roman" w:hAnsi="Times New Roman" w:cs="Times New Roman"/>
          <w:sz w:val="28"/>
          <w:szCs w:val="28"/>
        </w:rPr>
        <w:t>а</w:t>
      </w:r>
      <w:r>
        <w:rPr>
          <w:rFonts w:ascii="Times New Roman" w:hAnsi="Times New Roman" w:cs="Times New Roman"/>
          <w:sz w:val="28"/>
          <w:szCs w:val="28"/>
        </w:rPr>
        <w:t xml:space="preserve"> по внедрению лучших </w:t>
      </w:r>
      <w:r w:rsidR="00BF3BA0">
        <w:rPr>
          <w:rFonts w:ascii="Times New Roman" w:hAnsi="Times New Roman" w:cs="Times New Roman"/>
          <w:sz w:val="28"/>
          <w:szCs w:val="28"/>
        </w:rPr>
        <w:t>инновационных технологий</w:t>
      </w:r>
      <w:proofErr w:type="gramStart"/>
      <w:r w:rsidR="00BF3BA0">
        <w:rPr>
          <w:rFonts w:ascii="Times New Roman" w:hAnsi="Times New Roman" w:cs="Times New Roman"/>
          <w:sz w:val="28"/>
          <w:szCs w:val="28"/>
        </w:rPr>
        <w:t>.</w:t>
      </w:r>
      <w:proofErr w:type="gramEnd"/>
      <w:r w:rsidR="00BF3BA0">
        <w:rPr>
          <w:rFonts w:ascii="Times New Roman" w:hAnsi="Times New Roman" w:cs="Times New Roman"/>
          <w:sz w:val="28"/>
          <w:szCs w:val="28"/>
        </w:rPr>
        <w:t xml:space="preserve"> </w:t>
      </w:r>
      <w:r w:rsidR="00BF3BA0" w:rsidRPr="00BF3BA0">
        <w:rPr>
          <w:rFonts w:ascii="Times New Roman" w:hAnsi="Times New Roman" w:cs="Times New Roman"/>
          <w:sz w:val="28"/>
          <w:szCs w:val="28"/>
        </w:rPr>
        <w:t xml:space="preserve">Для поиска нестандартных подходов и решений </w:t>
      </w:r>
      <w:r w:rsidR="00BF3BA0">
        <w:rPr>
          <w:rFonts w:ascii="Times New Roman" w:hAnsi="Times New Roman" w:cs="Times New Roman"/>
          <w:sz w:val="28"/>
          <w:szCs w:val="28"/>
        </w:rPr>
        <w:t>ПАО «Сургутнефтегаз»</w:t>
      </w:r>
      <w:r w:rsidR="00BF3BA0" w:rsidRPr="00BF3BA0">
        <w:rPr>
          <w:rFonts w:ascii="Times New Roman" w:hAnsi="Times New Roman" w:cs="Times New Roman"/>
          <w:sz w:val="28"/>
          <w:szCs w:val="28"/>
        </w:rPr>
        <w:t xml:space="preserve"> активно вовлекает в  процесс научной деятельности </w:t>
      </w:r>
      <w:r w:rsidR="00BF3BA0" w:rsidRPr="00BF3BA0">
        <w:rPr>
          <w:rFonts w:ascii="Times New Roman" w:hAnsi="Times New Roman" w:cs="Times New Roman"/>
          <w:sz w:val="28"/>
          <w:szCs w:val="28"/>
        </w:rPr>
        <w:lastRenderedPageBreak/>
        <w:t>своих сотрудников, уделяет большое внимание защите и</w:t>
      </w:r>
      <w:r w:rsidR="00BF3BA0">
        <w:rPr>
          <w:rFonts w:ascii="Times New Roman" w:hAnsi="Times New Roman" w:cs="Times New Roman"/>
          <w:sz w:val="28"/>
          <w:szCs w:val="28"/>
        </w:rPr>
        <w:t xml:space="preserve">х научно-технических разработок, что </w:t>
      </w:r>
      <w:r w:rsidR="00030F11" w:rsidRPr="00BF3BA0">
        <w:rPr>
          <w:rFonts w:ascii="Times New Roman" w:hAnsi="Times New Roman" w:cs="Times New Roman"/>
          <w:sz w:val="28"/>
          <w:szCs w:val="28"/>
        </w:rPr>
        <w:t>обеспечивает высокий запас прочности в кризисные времена</w:t>
      </w:r>
      <w:r w:rsidR="00030F11">
        <w:rPr>
          <w:rFonts w:ascii="Times New Roman" w:hAnsi="Times New Roman" w:cs="Times New Roman"/>
          <w:sz w:val="28"/>
          <w:szCs w:val="28"/>
        </w:rPr>
        <w:t>, повышает свой рейтинг на рынке, а главное увеличивает свою прибыль.</w:t>
      </w:r>
    </w:p>
    <w:p w:rsidR="00030F11" w:rsidRDefault="00030F11" w:rsidP="00BF3BA0">
      <w:pPr>
        <w:spacing w:after="0" w:line="360" w:lineRule="auto"/>
        <w:jc w:val="both"/>
        <w:rPr>
          <w:rFonts w:ascii="Times New Roman" w:hAnsi="Times New Roman" w:cs="Times New Roman"/>
          <w:sz w:val="28"/>
          <w:szCs w:val="28"/>
        </w:rPr>
      </w:pPr>
    </w:p>
    <w:p w:rsidR="00030F11" w:rsidRDefault="00030F11" w:rsidP="00BF3BA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Ключевые слова: инновации, инновационная деятельность, инновационные технологии, рационализаторские работы, эффективность.</w:t>
      </w:r>
    </w:p>
    <w:p w:rsidR="00030F11" w:rsidRDefault="00030F11" w:rsidP="00BF3BA0">
      <w:pPr>
        <w:spacing w:after="0" w:line="360" w:lineRule="auto"/>
        <w:jc w:val="both"/>
        <w:rPr>
          <w:rFonts w:ascii="Times New Roman" w:hAnsi="Times New Roman" w:cs="Times New Roman"/>
          <w:sz w:val="28"/>
          <w:szCs w:val="28"/>
        </w:rPr>
      </w:pPr>
    </w:p>
    <w:p w:rsidR="00030F11" w:rsidRDefault="00030F11" w:rsidP="00BF3BA0">
      <w:pPr>
        <w:spacing w:after="0" w:line="360" w:lineRule="auto"/>
        <w:jc w:val="both"/>
        <w:rPr>
          <w:rFonts w:ascii="Times New Roman" w:hAnsi="Times New Roman" w:cs="Times New Roman"/>
          <w:b/>
          <w:sz w:val="28"/>
          <w:szCs w:val="28"/>
        </w:rPr>
      </w:pPr>
      <w:r w:rsidRPr="00030F11">
        <w:rPr>
          <w:rFonts w:ascii="Times New Roman" w:hAnsi="Times New Roman" w:cs="Times New Roman"/>
          <w:b/>
          <w:sz w:val="28"/>
          <w:szCs w:val="28"/>
          <w:lang w:val="en-US"/>
        </w:rPr>
        <w:t>Innovative activity as a way of economic development (on the example of OJSC "</w:t>
      </w:r>
      <w:proofErr w:type="spellStart"/>
      <w:r w:rsidRPr="00030F11">
        <w:rPr>
          <w:rFonts w:ascii="Times New Roman" w:hAnsi="Times New Roman" w:cs="Times New Roman"/>
          <w:b/>
          <w:sz w:val="28"/>
          <w:szCs w:val="28"/>
          <w:lang w:val="en-US"/>
        </w:rPr>
        <w:t>Surgutneftegas</w:t>
      </w:r>
      <w:proofErr w:type="spellEnd"/>
      <w:r w:rsidRPr="00030F11">
        <w:rPr>
          <w:rFonts w:ascii="Times New Roman" w:hAnsi="Times New Roman" w:cs="Times New Roman"/>
          <w:b/>
          <w:sz w:val="28"/>
          <w:szCs w:val="28"/>
          <w:lang w:val="en-US"/>
        </w:rPr>
        <w:t>")</w:t>
      </w:r>
    </w:p>
    <w:p w:rsidR="00030F11" w:rsidRDefault="00030F11" w:rsidP="00BF3BA0">
      <w:pPr>
        <w:spacing w:after="0" w:line="360" w:lineRule="auto"/>
        <w:jc w:val="both"/>
        <w:rPr>
          <w:rFonts w:ascii="Times New Roman" w:hAnsi="Times New Roman" w:cs="Times New Roman"/>
          <w:b/>
          <w:sz w:val="28"/>
          <w:szCs w:val="28"/>
        </w:rPr>
      </w:pPr>
    </w:p>
    <w:p w:rsidR="00030F11" w:rsidRPr="00030F11" w:rsidRDefault="00030F11" w:rsidP="00030F11">
      <w:pPr>
        <w:spacing w:after="0" w:line="360" w:lineRule="auto"/>
        <w:jc w:val="both"/>
        <w:rPr>
          <w:rFonts w:ascii="Times New Roman" w:hAnsi="Times New Roman" w:cs="Times New Roman"/>
          <w:b/>
          <w:sz w:val="28"/>
          <w:szCs w:val="28"/>
          <w:lang w:val="en-US"/>
        </w:rPr>
      </w:pPr>
      <w:proofErr w:type="spellStart"/>
      <w:r w:rsidRPr="00030F11">
        <w:rPr>
          <w:rFonts w:ascii="Times New Roman" w:hAnsi="Times New Roman" w:cs="Times New Roman"/>
          <w:b/>
          <w:sz w:val="28"/>
          <w:szCs w:val="28"/>
          <w:lang w:val="en-US"/>
        </w:rPr>
        <w:t>Abramova</w:t>
      </w:r>
      <w:proofErr w:type="spellEnd"/>
      <w:r w:rsidRPr="00030F11">
        <w:rPr>
          <w:rFonts w:ascii="Times New Roman" w:hAnsi="Times New Roman" w:cs="Times New Roman"/>
          <w:b/>
          <w:sz w:val="28"/>
          <w:szCs w:val="28"/>
          <w:lang w:val="en-US"/>
        </w:rPr>
        <w:t xml:space="preserve"> E.N.</w:t>
      </w:r>
    </w:p>
    <w:p w:rsidR="00030F11" w:rsidRPr="00030F11" w:rsidRDefault="00030F11" w:rsidP="00030F11">
      <w:pPr>
        <w:spacing w:after="0" w:line="360" w:lineRule="auto"/>
        <w:jc w:val="both"/>
        <w:rPr>
          <w:rFonts w:ascii="Times New Roman" w:hAnsi="Times New Roman" w:cs="Times New Roman"/>
          <w:b/>
          <w:sz w:val="28"/>
          <w:szCs w:val="28"/>
          <w:lang w:val="en-US"/>
        </w:rPr>
      </w:pPr>
    </w:p>
    <w:p w:rsidR="00030F11" w:rsidRPr="00030F11" w:rsidRDefault="00030F11" w:rsidP="00030F11">
      <w:pPr>
        <w:spacing w:after="0" w:line="360" w:lineRule="auto"/>
        <w:jc w:val="both"/>
        <w:rPr>
          <w:rFonts w:ascii="Times New Roman" w:hAnsi="Times New Roman" w:cs="Times New Roman"/>
          <w:b/>
          <w:sz w:val="28"/>
          <w:szCs w:val="28"/>
          <w:lang w:val="en-US"/>
        </w:rPr>
      </w:pPr>
      <w:proofErr w:type="gramStart"/>
      <w:r w:rsidRPr="00030F11">
        <w:rPr>
          <w:rFonts w:ascii="Times New Roman" w:hAnsi="Times New Roman" w:cs="Times New Roman"/>
          <w:b/>
          <w:sz w:val="28"/>
          <w:szCs w:val="28"/>
          <w:lang w:val="en-US"/>
        </w:rPr>
        <w:t>graduate</w:t>
      </w:r>
      <w:proofErr w:type="gramEnd"/>
      <w:r w:rsidRPr="00030F11">
        <w:rPr>
          <w:rFonts w:ascii="Times New Roman" w:hAnsi="Times New Roman" w:cs="Times New Roman"/>
          <w:b/>
          <w:sz w:val="28"/>
          <w:szCs w:val="28"/>
          <w:lang w:val="en-US"/>
        </w:rPr>
        <w:t xml:space="preserve"> student</w:t>
      </w:r>
      <w:r w:rsidRPr="00030F11">
        <w:rPr>
          <w:rFonts w:ascii="Times New Roman" w:hAnsi="Times New Roman" w:cs="Times New Roman"/>
          <w:b/>
          <w:sz w:val="28"/>
          <w:szCs w:val="28"/>
          <w:lang w:val="en-US"/>
        </w:rPr>
        <w:t xml:space="preserve"> of the 1st course of the </w:t>
      </w:r>
      <w:proofErr w:type="spellStart"/>
      <w:r w:rsidRPr="00030F11">
        <w:rPr>
          <w:rFonts w:ascii="Times New Roman" w:hAnsi="Times New Roman" w:cs="Times New Roman"/>
          <w:b/>
          <w:sz w:val="28"/>
          <w:szCs w:val="28"/>
          <w:lang w:val="en-US"/>
        </w:rPr>
        <w:t>Almetyevsk</w:t>
      </w:r>
      <w:proofErr w:type="spellEnd"/>
      <w:r w:rsidRPr="00030F11">
        <w:rPr>
          <w:rFonts w:ascii="Times New Roman" w:hAnsi="Times New Roman" w:cs="Times New Roman"/>
          <w:b/>
          <w:sz w:val="28"/>
          <w:szCs w:val="28"/>
          <w:lang w:val="en-US"/>
        </w:rPr>
        <w:t xml:space="preserve"> </w:t>
      </w:r>
      <w:r w:rsidRPr="00030F11">
        <w:rPr>
          <w:rFonts w:ascii="Times New Roman" w:hAnsi="Times New Roman" w:cs="Times New Roman"/>
          <w:b/>
          <w:sz w:val="28"/>
          <w:szCs w:val="28"/>
          <w:lang w:val="en-US"/>
        </w:rPr>
        <w:t xml:space="preserve">State Oil Institute, Republic of </w:t>
      </w:r>
      <w:proofErr w:type="spellStart"/>
      <w:r w:rsidRPr="00030F11">
        <w:rPr>
          <w:rFonts w:ascii="Times New Roman" w:hAnsi="Times New Roman" w:cs="Times New Roman"/>
          <w:b/>
          <w:sz w:val="28"/>
          <w:szCs w:val="28"/>
          <w:lang w:val="en-US"/>
        </w:rPr>
        <w:t>Tatarstan</w:t>
      </w:r>
      <w:proofErr w:type="spellEnd"/>
      <w:r w:rsidRPr="00030F11">
        <w:rPr>
          <w:rFonts w:ascii="Times New Roman" w:hAnsi="Times New Roman" w:cs="Times New Roman"/>
          <w:b/>
          <w:sz w:val="28"/>
          <w:szCs w:val="28"/>
          <w:lang w:val="en-US"/>
        </w:rPr>
        <w:t xml:space="preserve">, Russian Federation, </w:t>
      </w:r>
      <w:proofErr w:type="spellStart"/>
      <w:r w:rsidRPr="00030F11">
        <w:rPr>
          <w:rFonts w:ascii="Times New Roman" w:hAnsi="Times New Roman" w:cs="Times New Roman"/>
          <w:b/>
          <w:sz w:val="28"/>
          <w:szCs w:val="28"/>
          <w:lang w:val="en-US"/>
        </w:rPr>
        <w:t>Lenina</w:t>
      </w:r>
      <w:proofErr w:type="spellEnd"/>
      <w:r w:rsidRPr="00030F11">
        <w:rPr>
          <w:rFonts w:ascii="Times New Roman" w:hAnsi="Times New Roman" w:cs="Times New Roman"/>
          <w:b/>
          <w:sz w:val="28"/>
          <w:szCs w:val="28"/>
          <w:lang w:val="en-US"/>
        </w:rPr>
        <w:t xml:space="preserve"> street house 2, e-mail: Abramova10@mail.ru</w:t>
      </w:r>
    </w:p>
    <w:p w:rsidR="00030F11" w:rsidRPr="00030F11" w:rsidRDefault="00030F11" w:rsidP="00030F11">
      <w:pPr>
        <w:spacing w:after="0" w:line="360" w:lineRule="auto"/>
        <w:jc w:val="both"/>
        <w:rPr>
          <w:rFonts w:ascii="Times New Roman" w:hAnsi="Times New Roman" w:cs="Times New Roman"/>
          <w:b/>
          <w:sz w:val="28"/>
          <w:szCs w:val="28"/>
          <w:lang w:val="en-US"/>
        </w:rPr>
      </w:pPr>
    </w:p>
    <w:p w:rsidR="00030F11" w:rsidRPr="00030F11" w:rsidRDefault="00030F11" w:rsidP="00030F11">
      <w:pPr>
        <w:spacing w:after="0" w:line="360" w:lineRule="auto"/>
        <w:jc w:val="both"/>
        <w:rPr>
          <w:rFonts w:ascii="Times New Roman" w:hAnsi="Times New Roman" w:cs="Times New Roman"/>
          <w:b/>
          <w:sz w:val="28"/>
          <w:szCs w:val="28"/>
          <w:lang w:val="en-US"/>
        </w:rPr>
      </w:pPr>
      <w:proofErr w:type="gramStart"/>
      <w:r w:rsidRPr="00030F11">
        <w:rPr>
          <w:rFonts w:ascii="Times New Roman" w:hAnsi="Times New Roman" w:cs="Times New Roman"/>
          <w:b/>
          <w:sz w:val="28"/>
          <w:szCs w:val="28"/>
          <w:lang w:val="en-US"/>
        </w:rPr>
        <w:t>Annotation.</w:t>
      </w:r>
      <w:proofErr w:type="gramEnd"/>
      <w:r w:rsidRPr="00030F11">
        <w:rPr>
          <w:rFonts w:ascii="Times New Roman" w:hAnsi="Times New Roman" w:cs="Times New Roman"/>
          <w:b/>
          <w:sz w:val="28"/>
          <w:szCs w:val="28"/>
          <w:lang w:val="en-US"/>
        </w:rPr>
        <w:t xml:space="preserve"> This article is devoted to the topical issue related to the development and implementation of new products, technologies and services, which is a key factor of competitiveness. Today, the obsolete equipment and technologies, especially in oil refining, remain a serious problem in the activities of oil companies, which does not allow them to compete successfully in the oil products market with foreign companies. In consequence with this, theoretical aspects of the study of innovation activity were considered, and its importance in the modern world was also studied. The analysis of the activities of a private vertically integrated oil company of Russia, PJSC "</w:t>
      </w:r>
      <w:proofErr w:type="spellStart"/>
      <w:r w:rsidRPr="00030F11">
        <w:rPr>
          <w:rFonts w:ascii="Times New Roman" w:hAnsi="Times New Roman" w:cs="Times New Roman"/>
          <w:b/>
          <w:sz w:val="28"/>
          <w:szCs w:val="28"/>
          <w:lang w:val="en-US"/>
        </w:rPr>
        <w:t>Surgutneftegas</w:t>
      </w:r>
      <w:proofErr w:type="spellEnd"/>
      <w:r w:rsidRPr="00030F11">
        <w:rPr>
          <w:rFonts w:ascii="Times New Roman" w:hAnsi="Times New Roman" w:cs="Times New Roman"/>
          <w:b/>
          <w:sz w:val="28"/>
          <w:szCs w:val="28"/>
          <w:lang w:val="en-US"/>
        </w:rPr>
        <w:t xml:space="preserve">", was conducted, during which the dynamics of development of key financial indicators for the period from 2012 to 2016 was reviewed: sales proceeds, sales profit, </w:t>
      </w:r>
      <w:proofErr w:type="gramStart"/>
      <w:r w:rsidRPr="00030F11">
        <w:rPr>
          <w:rFonts w:ascii="Times New Roman" w:hAnsi="Times New Roman" w:cs="Times New Roman"/>
          <w:b/>
          <w:sz w:val="28"/>
          <w:szCs w:val="28"/>
          <w:lang w:val="en-US"/>
        </w:rPr>
        <w:t>oil</w:t>
      </w:r>
      <w:proofErr w:type="gramEnd"/>
      <w:r w:rsidRPr="00030F11">
        <w:rPr>
          <w:rFonts w:ascii="Times New Roman" w:hAnsi="Times New Roman" w:cs="Times New Roman"/>
          <w:b/>
          <w:sz w:val="28"/>
          <w:szCs w:val="28"/>
          <w:lang w:val="en-US"/>
        </w:rPr>
        <w:t xml:space="preserve"> production. In the process of research, the main types of rationalization works and innovative technologies were identified, which is being implemented by PJSC "</w:t>
      </w:r>
      <w:proofErr w:type="spellStart"/>
      <w:r w:rsidRPr="00030F11">
        <w:rPr>
          <w:rFonts w:ascii="Times New Roman" w:hAnsi="Times New Roman" w:cs="Times New Roman"/>
          <w:b/>
          <w:sz w:val="28"/>
          <w:szCs w:val="28"/>
          <w:lang w:val="en-US"/>
        </w:rPr>
        <w:t>Surgutneftegas</w:t>
      </w:r>
      <w:proofErr w:type="spellEnd"/>
      <w:r w:rsidRPr="00030F11">
        <w:rPr>
          <w:rFonts w:ascii="Times New Roman" w:hAnsi="Times New Roman" w:cs="Times New Roman"/>
          <w:b/>
          <w:sz w:val="28"/>
          <w:szCs w:val="28"/>
          <w:lang w:val="en-US"/>
        </w:rPr>
        <w:t xml:space="preserve">". The economic effect of the </w:t>
      </w:r>
      <w:r w:rsidRPr="00030F11">
        <w:rPr>
          <w:rFonts w:ascii="Times New Roman" w:hAnsi="Times New Roman" w:cs="Times New Roman"/>
          <w:b/>
          <w:sz w:val="28"/>
          <w:szCs w:val="28"/>
          <w:lang w:val="en-US"/>
        </w:rPr>
        <w:lastRenderedPageBreak/>
        <w:t>introduction of these technologies is illustrated. The work done summarizes the analysis of the implementation of the best innovative technologies. To find non-standard approaches and solutions, PJSC "</w:t>
      </w:r>
      <w:proofErr w:type="spellStart"/>
      <w:r w:rsidRPr="00030F11">
        <w:rPr>
          <w:rFonts w:ascii="Times New Roman" w:hAnsi="Times New Roman" w:cs="Times New Roman"/>
          <w:b/>
          <w:sz w:val="28"/>
          <w:szCs w:val="28"/>
          <w:lang w:val="en-US"/>
        </w:rPr>
        <w:t>Surgutneftegas</w:t>
      </w:r>
      <w:proofErr w:type="spellEnd"/>
      <w:r w:rsidRPr="00030F11">
        <w:rPr>
          <w:rFonts w:ascii="Times New Roman" w:hAnsi="Times New Roman" w:cs="Times New Roman"/>
          <w:b/>
          <w:sz w:val="28"/>
          <w:szCs w:val="28"/>
          <w:lang w:val="en-US"/>
        </w:rPr>
        <w:t>" actively involves its employees in the process of scientific activity, pays much attention to the protection of their scientific and technical developments, which provides a high safety margin in times of crisis, raises its rating in the market, and, most importantly, increases its profit.</w:t>
      </w:r>
    </w:p>
    <w:p w:rsidR="00030F11" w:rsidRPr="00030F11" w:rsidRDefault="00030F11" w:rsidP="00030F11">
      <w:pPr>
        <w:spacing w:after="0" w:line="360" w:lineRule="auto"/>
        <w:jc w:val="both"/>
        <w:rPr>
          <w:rFonts w:ascii="Times New Roman" w:hAnsi="Times New Roman" w:cs="Times New Roman"/>
          <w:b/>
          <w:sz w:val="28"/>
          <w:szCs w:val="28"/>
          <w:lang w:val="en-US"/>
        </w:rPr>
      </w:pPr>
    </w:p>
    <w:p w:rsidR="00030F11" w:rsidRDefault="00030F11" w:rsidP="00030F11">
      <w:pPr>
        <w:spacing w:after="0" w:line="360" w:lineRule="auto"/>
        <w:jc w:val="both"/>
        <w:rPr>
          <w:rFonts w:ascii="Times New Roman" w:hAnsi="Times New Roman" w:cs="Times New Roman"/>
          <w:b/>
          <w:sz w:val="28"/>
          <w:szCs w:val="28"/>
        </w:rPr>
      </w:pPr>
      <w:r w:rsidRPr="00030F11">
        <w:rPr>
          <w:rFonts w:ascii="Times New Roman" w:hAnsi="Times New Roman" w:cs="Times New Roman"/>
          <w:b/>
          <w:sz w:val="28"/>
          <w:szCs w:val="28"/>
          <w:lang w:val="en-US"/>
        </w:rPr>
        <w:t>Key words: innovations, innovative activity, innovative technologies, rationalization works, efficiency.</w:t>
      </w:r>
    </w:p>
    <w:p w:rsidR="00030F11" w:rsidRPr="00030F11" w:rsidRDefault="00030F11" w:rsidP="00030F11">
      <w:pPr>
        <w:spacing w:after="0" w:line="360" w:lineRule="auto"/>
        <w:jc w:val="both"/>
        <w:rPr>
          <w:rFonts w:ascii="Times New Roman" w:hAnsi="Times New Roman" w:cs="Times New Roman"/>
          <w:sz w:val="28"/>
          <w:szCs w:val="28"/>
        </w:rPr>
      </w:pPr>
    </w:p>
    <w:p w:rsidR="00B158DC" w:rsidRDefault="00754E6B" w:rsidP="00030F11">
      <w:pPr>
        <w:spacing w:after="0" w:line="360" w:lineRule="auto"/>
        <w:ind w:firstLine="709"/>
        <w:jc w:val="both"/>
        <w:rPr>
          <w:rFonts w:ascii="Times New Roman" w:hAnsi="Times New Roman" w:cs="Times New Roman"/>
          <w:sz w:val="28"/>
          <w:szCs w:val="28"/>
        </w:rPr>
      </w:pPr>
      <w:r w:rsidRPr="00754E6B">
        <w:rPr>
          <w:rFonts w:ascii="Times New Roman" w:hAnsi="Times New Roman" w:cs="Times New Roman"/>
          <w:sz w:val="28"/>
          <w:szCs w:val="28"/>
        </w:rPr>
        <w:t xml:space="preserve">В официальной статистике под технологическими инновациями понимаются конечные результаты инновационной деятельности, получившие воплощение в виде нового или усовершенствованного продукта или услуги, внедренных на рынке, нового или усовершенствованного технологического процесса или способа производства (передачи) услуг, используемых в практической деятельности. От того, какое определение инноваций используется, зависят все формализуемые характеристики этого процесса. </w:t>
      </w:r>
    </w:p>
    <w:p w:rsidR="00B158DC" w:rsidRDefault="00B158DC" w:rsidP="00030F1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Актуальность выбранной темы, </w:t>
      </w:r>
      <w:r w:rsidRPr="00B158DC">
        <w:rPr>
          <w:rFonts w:ascii="Times New Roman" w:hAnsi="Times New Roman" w:cs="Times New Roman"/>
          <w:sz w:val="28"/>
          <w:szCs w:val="28"/>
        </w:rPr>
        <w:t>обусловлена тем, что современная экономика может быть с полным основанием названа «инновационной экономикой». Можно говорить об особом, инновационном типе развития мировой экономики. Этот тип основан на постоянном поиске новых идей, осуществлении инноваций во всех областях общественной жизни, межфирменной научно-технологической кооперации, трансформации внутрифирменных организационных структур в сторону большей гибкости.</w:t>
      </w:r>
    </w:p>
    <w:p w:rsidR="00754E6B" w:rsidRPr="00754E6B" w:rsidRDefault="00754E6B" w:rsidP="00932B96">
      <w:pPr>
        <w:spacing w:after="0" w:line="360" w:lineRule="auto"/>
        <w:ind w:firstLine="709"/>
        <w:jc w:val="both"/>
        <w:rPr>
          <w:rFonts w:ascii="Times New Roman" w:hAnsi="Times New Roman" w:cs="Times New Roman"/>
          <w:sz w:val="28"/>
          <w:szCs w:val="28"/>
        </w:rPr>
      </w:pPr>
      <w:r w:rsidRPr="00754E6B">
        <w:rPr>
          <w:rFonts w:ascii="Times New Roman" w:hAnsi="Times New Roman" w:cs="Times New Roman"/>
          <w:sz w:val="28"/>
          <w:szCs w:val="28"/>
        </w:rPr>
        <w:t xml:space="preserve">Открытое акционерное общество «Сургутнефтегаз»  – одна из крупнейших </w:t>
      </w:r>
      <w:proofErr w:type="gramStart"/>
      <w:r w:rsidRPr="00754E6B">
        <w:rPr>
          <w:rFonts w:ascii="Times New Roman" w:hAnsi="Times New Roman" w:cs="Times New Roman"/>
          <w:sz w:val="28"/>
          <w:szCs w:val="28"/>
        </w:rPr>
        <w:t>частных</w:t>
      </w:r>
      <w:proofErr w:type="gramEnd"/>
      <w:r w:rsidRPr="00754E6B">
        <w:rPr>
          <w:rFonts w:ascii="Times New Roman" w:hAnsi="Times New Roman" w:cs="Times New Roman"/>
          <w:sz w:val="28"/>
          <w:szCs w:val="28"/>
        </w:rPr>
        <w:t xml:space="preserve"> вертикально интегрированных нефтяных компаний России, территория деятельности которой сосредоточена  в ряде регионов Российской Федерации от Балтики до Дальнего Востока. В Компании трудится около 117 тысяч человек.</w:t>
      </w:r>
    </w:p>
    <w:p w:rsidR="00B158DC" w:rsidRPr="00754E6B" w:rsidRDefault="00B158DC" w:rsidP="00B158DC">
      <w:pPr>
        <w:spacing w:after="0" w:line="360" w:lineRule="auto"/>
        <w:ind w:firstLine="709"/>
        <w:jc w:val="both"/>
        <w:rPr>
          <w:rFonts w:ascii="Times New Roman" w:hAnsi="Times New Roman" w:cs="Times New Roman"/>
          <w:sz w:val="28"/>
          <w:szCs w:val="28"/>
        </w:rPr>
      </w:pPr>
      <w:r w:rsidRPr="00754E6B">
        <w:rPr>
          <w:rFonts w:ascii="Times New Roman" w:hAnsi="Times New Roman" w:cs="Times New Roman"/>
          <w:sz w:val="28"/>
          <w:szCs w:val="28"/>
        </w:rPr>
        <w:lastRenderedPageBreak/>
        <w:t xml:space="preserve">В  составе Компании функционируют два научно-проектных центра: </w:t>
      </w:r>
      <w:proofErr w:type="spellStart"/>
      <w:r w:rsidRPr="00754E6B">
        <w:rPr>
          <w:rFonts w:ascii="Times New Roman" w:hAnsi="Times New Roman" w:cs="Times New Roman"/>
          <w:sz w:val="28"/>
          <w:szCs w:val="28"/>
        </w:rPr>
        <w:t>Сургутский</w:t>
      </w:r>
      <w:proofErr w:type="spellEnd"/>
      <w:r w:rsidRPr="00754E6B">
        <w:rPr>
          <w:rFonts w:ascii="Times New Roman" w:hAnsi="Times New Roman" w:cs="Times New Roman"/>
          <w:sz w:val="28"/>
          <w:szCs w:val="28"/>
        </w:rPr>
        <w:t xml:space="preserve"> научно-исследовательский и пр</w:t>
      </w:r>
      <w:proofErr w:type="gramStart"/>
      <w:r w:rsidRPr="00754E6B">
        <w:rPr>
          <w:rFonts w:ascii="Times New Roman" w:hAnsi="Times New Roman" w:cs="Times New Roman"/>
          <w:sz w:val="28"/>
          <w:szCs w:val="28"/>
        </w:rPr>
        <w:t>о-</w:t>
      </w:r>
      <w:proofErr w:type="gramEnd"/>
      <w:r w:rsidRPr="00754E6B">
        <w:rPr>
          <w:rFonts w:ascii="Times New Roman" w:hAnsi="Times New Roman" w:cs="Times New Roman"/>
          <w:sz w:val="28"/>
          <w:szCs w:val="28"/>
        </w:rPr>
        <w:t xml:space="preserve"> </w:t>
      </w:r>
      <w:proofErr w:type="spellStart"/>
      <w:r w:rsidRPr="00754E6B">
        <w:rPr>
          <w:rFonts w:ascii="Times New Roman" w:hAnsi="Times New Roman" w:cs="Times New Roman"/>
          <w:sz w:val="28"/>
          <w:szCs w:val="28"/>
        </w:rPr>
        <w:t>ектный</w:t>
      </w:r>
      <w:proofErr w:type="spellEnd"/>
      <w:r w:rsidRPr="00754E6B">
        <w:rPr>
          <w:rFonts w:ascii="Times New Roman" w:hAnsi="Times New Roman" w:cs="Times New Roman"/>
          <w:sz w:val="28"/>
          <w:szCs w:val="28"/>
        </w:rPr>
        <w:t xml:space="preserve"> институт «</w:t>
      </w:r>
      <w:proofErr w:type="spellStart"/>
      <w:r w:rsidRPr="00754E6B">
        <w:rPr>
          <w:rFonts w:ascii="Times New Roman" w:hAnsi="Times New Roman" w:cs="Times New Roman"/>
          <w:sz w:val="28"/>
          <w:szCs w:val="28"/>
        </w:rPr>
        <w:t>СургутНИПИнефть</w:t>
      </w:r>
      <w:proofErr w:type="spellEnd"/>
      <w:r w:rsidRPr="00754E6B">
        <w:rPr>
          <w:rFonts w:ascii="Times New Roman" w:hAnsi="Times New Roman" w:cs="Times New Roman"/>
          <w:sz w:val="28"/>
          <w:szCs w:val="28"/>
        </w:rPr>
        <w:t>» .</w:t>
      </w:r>
    </w:p>
    <w:p w:rsidR="00B158DC" w:rsidRDefault="00B158DC" w:rsidP="00932B9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Динамика развития ключевых показателей ПАО «Сургутнефтегаз» представлена на рисунке 1.</w:t>
      </w:r>
    </w:p>
    <w:p w:rsidR="00B158DC" w:rsidRPr="00754E6B" w:rsidRDefault="00B158DC" w:rsidP="00B158DC">
      <w:pPr>
        <w:spacing w:after="0" w:line="360" w:lineRule="auto"/>
        <w:ind w:firstLine="709"/>
        <w:jc w:val="both"/>
        <w:rPr>
          <w:rFonts w:ascii="Times New Roman" w:hAnsi="Times New Roman" w:cs="Times New Roman"/>
          <w:sz w:val="28"/>
          <w:szCs w:val="28"/>
        </w:rPr>
      </w:pPr>
      <w:r w:rsidRPr="00754E6B">
        <w:rPr>
          <w:rFonts w:ascii="Times New Roman" w:hAnsi="Times New Roman" w:cs="Times New Roman"/>
          <w:sz w:val="28"/>
          <w:szCs w:val="28"/>
        </w:rPr>
        <w:t xml:space="preserve">Как </w:t>
      </w:r>
      <w:r>
        <w:rPr>
          <w:rFonts w:ascii="Times New Roman" w:hAnsi="Times New Roman" w:cs="Times New Roman"/>
          <w:sz w:val="28"/>
          <w:szCs w:val="28"/>
        </w:rPr>
        <w:t>видно,</w:t>
      </w:r>
      <w:r w:rsidRPr="00754E6B">
        <w:rPr>
          <w:rFonts w:ascii="Times New Roman" w:hAnsi="Times New Roman" w:cs="Times New Roman"/>
          <w:sz w:val="28"/>
          <w:szCs w:val="28"/>
        </w:rPr>
        <w:t xml:space="preserve"> происходит рост добычи нефти в 2016 году на 0,4 % и составил 61849 </w:t>
      </w:r>
      <w:proofErr w:type="spellStart"/>
      <w:r w:rsidRPr="00754E6B">
        <w:rPr>
          <w:rFonts w:ascii="Times New Roman" w:hAnsi="Times New Roman" w:cs="Times New Roman"/>
          <w:sz w:val="28"/>
          <w:szCs w:val="28"/>
        </w:rPr>
        <w:t>млн.т</w:t>
      </w:r>
      <w:proofErr w:type="spellEnd"/>
      <w:r w:rsidRPr="00754E6B">
        <w:rPr>
          <w:rFonts w:ascii="Times New Roman" w:hAnsi="Times New Roman" w:cs="Times New Roman"/>
          <w:sz w:val="28"/>
          <w:szCs w:val="28"/>
        </w:rPr>
        <w:t>. Основной прирост нефтедобычи Компании обеспечивает ра</w:t>
      </w:r>
      <w:proofErr w:type="gramStart"/>
      <w:r w:rsidRPr="00754E6B">
        <w:rPr>
          <w:rFonts w:ascii="Times New Roman" w:hAnsi="Times New Roman" w:cs="Times New Roman"/>
          <w:sz w:val="28"/>
          <w:szCs w:val="28"/>
        </w:rPr>
        <w:t>з-</w:t>
      </w:r>
      <w:proofErr w:type="gramEnd"/>
      <w:r w:rsidRPr="00754E6B">
        <w:rPr>
          <w:rFonts w:ascii="Times New Roman" w:hAnsi="Times New Roman" w:cs="Times New Roman"/>
          <w:sz w:val="28"/>
          <w:szCs w:val="28"/>
        </w:rPr>
        <w:t xml:space="preserve"> работк</w:t>
      </w:r>
      <w:r>
        <w:rPr>
          <w:rFonts w:ascii="Times New Roman" w:hAnsi="Times New Roman" w:cs="Times New Roman"/>
          <w:sz w:val="28"/>
          <w:szCs w:val="28"/>
        </w:rPr>
        <w:t>а месторождений Восточной Сиби</w:t>
      </w:r>
      <w:r w:rsidRPr="00754E6B">
        <w:rPr>
          <w:rFonts w:ascii="Times New Roman" w:hAnsi="Times New Roman" w:cs="Times New Roman"/>
          <w:sz w:val="28"/>
          <w:szCs w:val="28"/>
        </w:rPr>
        <w:t>ри – доля этого региона в общем объеме добычи Компании ежегодно увеличивается и в 2016 году достигла 14,4 %.</w:t>
      </w:r>
      <w:r w:rsidRPr="00B158DC">
        <w:rPr>
          <w:rFonts w:ascii="Times New Roman" w:hAnsi="Times New Roman" w:cs="Times New Roman"/>
          <w:sz w:val="28"/>
          <w:szCs w:val="28"/>
        </w:rPr>
        <w:t xml:space="preserve"> </w:t>
      </w:r>
      <w:r w:rsidRPr="00754E6B">
        <w:rPr>
          <w:rFonts w:ascii="Times New Roman" w:hAnsi="Times New Roman" w:cs="Times New Roman"/>
          <w:sz w:val="28"/>
          <w:szCs w:val="28"/>
        </w:rPr>
        <w:t>Выручка увеличивается на протяжении с 2013 по 2016 годы, что также является положительным результатом для компании. Прибыль от продаж возросла в 2016 году незначительно, на 0,4 %, когда как в 2015 году по сравнению с 2014 годом прибыль выросла на 32,2 %.</w:t>
      </w:r>
    </w:p>
    <w:p w:rsidR="00207649" w:rsidRDefault="00207649" w:rsidP="00932B96">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29F4B689" wp14:editId="2C0B6190">
            <wp:extent cx="6071016" cy="3237876"/>
            <wp:effectExtent l="0" t="0" r="6350" b="63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B158DC" w:rsidRDefault="000D09E3" w:rsidP="00B158DC">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Рисунок 1 – Основные финансовые показатели ПАО «Сургутнефтегаз за 2012-2016 гг.</w:t>
      </w:r>
    </w:p>
    <w:p w:rsidR="006E07D1" w:rsidRDefault="006E07D1" w:rsidP="00932B96">
      <w:pPr>
        <w:spacing w:after="0" w:line="360" w:lineRule="auto"/>
        <w:ind w:firstLine="709"/>
        <w:jc w:val="both"/>
        <w:rPr>
          <w:rFonts w:ascii="Times New Roman" w:hAnsi="Times New Roman" w:cs="Times New Roman"/>
          <w:sz w:val="28"/>
          <w:szCs w:val="28"/>
        </w:rPr>
      </w:pPr>
    </w:p>
    <w:p w:rsidR="00754E6B" w:rsidRPr="00754E6B" w:rsidRDefault="00754E6B" w:rsidP="00932B96">
      <w:pPr>
        <w:spacing w:after="0" w:line="360" w:lineRule="auto"/>
        <w:ind w:firstLine="709"/>
        <w:jc w:val="both"/>
        <w:rPr>
          <w:rFonts w:ascii="Times New Roman" w:hAnsi="Times New Roman" w:cs="Times New Roman"/>
          <w:sz w:val="28"/>
          <w:szCs w:val="28"/>
        </w:rPr>
      </w:pPr>
      <w:r w:rsidRPr="00754E6B">
        <w:rPr>
          <w:rFonts w:ascii="Times New Roman" w:hAnsi="Times New Roman" w:cs="Times New Roman"/>
          <w:sz w:val="28"/>
          <w:szCs w:val="28"/>
        </w:rPr>
        <w:t xml:space="preserve">В области бурения в  2016 </w:t>
      </w:r>
      <w:r w:rsidR="00B158DC">
        <w:rPr>
          <w:rFonts w:ascii="Times New Roman" w:hAnsi="Times New Roman" w:cs="Times New Roman"/>
          <w:sz w:val="28"/>
          <w:szCs w:val="28"/>
        </w:rPr>
        <w:t xml:space="preserve"> году по  техническому заданию П</w:t>
      </w:r>
      <w:r w:rsidRPr="00754E6B">
        <w:rPr>
          <w:rFonts w:ascii="Times New Roman" w:hAnsi="Times New Roman" w:cs="Times New Roman"/>
          <w:sz w:val="28"/>
          <w:szCs w:val="28"/>
        </w:rPr>
        <w:t xml:space="preserve">АО «Сургутнефтегаз» была разработана отечественная телесистема LWD Луч-172, предназначенная для проводки и выполнения полного комплекса </w:t>
      </w:r>
      <w:r w:rsidRPr="00754E6B">
        <w:rPr>
          <w:rFonts w:ascii="Times New Roman" w:hAnsi="Times New Roman" w:cs="Times New Roman"/>
          <w:sz w:val="28"/>
          <w:szCs w:val="28"/>
        </w:rPr>
        <w:lastRenderedPageBreak/>
        <w:t xml:space="preserve">окончательного каротажа в  процессе бурения скважины. При  этом время бурения одной скважины было сокращено на  40  часов. Также в  отчетном году осуществлены монтаж и  пусконаладочные работы </w:t>
      </w:r>
      <w:proofErr w:type="spellStart"/>
      <w:r w:rsidRPr="00754E6B">
        <w:rPr>
          <w:rFonts w:ascii="Times New Roman" w:hAnsi="Times New Roman" w:cs="Times New Roman"/>
          <w:sz w:val="28"/>
          <w:szCs w:val="28"/>
        </w:rPr>
        <w:t>рентгенотелевизионной</w:t>
      </w:r>
      <w:proofErr w:type="spellEnd"/>
      <w:r w:rsidRPr="00754E6B">
        <w:rPr>
          <w:rFonts w:ascii="Times New Roman" w:hAnsi="Times New Roman" w:cs="Times New Roman"/>
          <w:sz w:val="28"/>
          <w:szCs w:val="28"/>
        </w:rPr>
        <w:t xml:space="preserve"> установки FILIN CT-180L для  контроля концевых участков бурильных труб, </w:t>
      </w:r>
      <w:proofErr w:type="gramStart"/>
      <w:r w:rsidRPr="00754E6B">
        <w:rPr>
          <w:rFonts w:ascii="Times New Roman" w:hAnsi="Times New Roman" w:cs="Times New Roman"/>
          <w:sz w:val="28"/>
          <w:szCs w:val="28"/>
        </w:rPr>
        <w:t>которая</w:t>
      </w:r>
      <w:proofErr w:type="gramEnd"/>
      <w:r w:rsidRPr="00754E6B">
        <w:rPr>
          <w:rFonts w:ascii="Times New Roman" w:hAnsi="Times New Roman" w:cs="Times New Roman"/>
          <w:sz w:val="28"/>
          <w:szCs w:val="28"/>
        </w:rPr>
        <w:t xml:space="preserve"> позволяет максимально точно определять дефекты и снижать риск возникновения аварийных ситуаций в процессе бурения</w:t>
      </w:r>
    </w:p>
    <w:p w:rsidR="00B158DC" w:rsidRDefault="00754E6B" w:rsidP="00B158DC">
      <w:pPr>
        <w:spacing w:after="0" w:line="360" w:lineRule="auto"/>
        <w:ind w:firstLine="709"/>
        <w:jc w:val="both"/>
        <w:rPr>
          <w:rFonts w:ascii="Times New Roman" w:hAnsi="Times New Roman" w:cs="Times New Roman"/>
          <w:sz w:val="28"/>
          <w:szCs w:val="28"/>
        </w:rPr>
      </w:pPr>
      <w:r w:rsidRPr="00754E6B">
        <w:rPr>
          <w:rFonts w:ascii="Times New Roman" w:hAnsi="Times New Roman" w:cs="Times New Roman"/>
          <w:sz w:val="28"/>
          <w:szCs w:val="28"/>
        </w:rPr>
        <w:t>В области химизации техноло</w:t>
      </w:r>
      <w:r w:rsidR="006E07D1">
        <w:rPr>
          <w:rFonts w:ascii="Times New Roman" w:hAnsi="Times New Roman" w:cs="Times New Roman"/>
          <w:sz w:val="28"/>
          <w:szCs w:val="28"/>
        </w:rPr>
        <w:t>гических процессов в 2016 году П</w:t>
      </w:r>
      <w:r w:rsidRPr="00754E6B">
        <w:rPr>
          <w:rFonts w:ascii="Times New Roman" w:hAnsi="Times New Roman" w:cs="Times New Roman"/>
          <w:sz w:val="28"/>
          <w:szCs w:val="28"/>
        </w:rPr>
        <w:t xml:space="preserve">АО «Сургутнефтегаз» был введен в  эксплуатацию уникальный мобильный комплекс по химической обработке скважин, созданный по  техническому заданию, разработанному специалистами Компании. Установка позволяет осуществлять непрерывную закачку </w:t>
      </w:r>
      <w:proofErr w:type="spellStart"/>
      <w:r w:rsidRPr="00754E6B">
        <w:rPr>
          <w:rFonts w:ascii="Times New Roman" w:hAnsi="Times New Roman" w:cs="Times New Roman"/>
          <w:sz w:val="28"/>
          <w:szCs w:val="28"/>
        </w:rPr>
        <w:t>химреагента</w:t>
      </w:r>
      <w:proofErr w:type="spellEnd"/>
      <w:r w:rsidRPr="00754E6B">
        <w:rPr>
          <w:rFonts w:ascii="Times New Roman" w:hAnsi="Times New Roman" w:cs="Times New Roman"/>
          <w:sz w:val="28"/>
          <w:szCs w:val="28"/>
        </w:rPr>
        <w:t xml:space="preserve"> в скважину, тем  самым продлевая срок службы место - рождений и повышая </w:t>
      </w:r>
      <w:proofErr w:type="spellStart"/>
      <w:r w:rsidRPr="00754E6B">
        <w:rPr>
          <w:rFonts w:ascii="Times New Roman" w:hAnsi="Times New Roman" w:cs="Times New Roman"/>
          <w:sz w:val="28"/>
          <w:szCs w:val="28"/>
        </w:rPr>
        <w:t>нефтеотдачу</w:t>
      </w:r>
      <w:proofErr w:type="spellEnd"/>
      <w:r w:rsidRPr="00754E6B">
        <w:rPr>
          <w:rFonts w:ascii="Times New Roman" w:hAnsi="Times New Roman" w:cs="Times New Roman"/>
          <w:sz w:val="28"/>
          <w:szCs w:val="28"/>
        </w:rPr>
        <w:t xml:space="preserve"> пластов.</w:t>
      </w:r>
      <w:r w:rsidR="00B158DC" w:rsidRPr="00B158DC">
        <w:rPr>
          <w:rFonts w:ascii="Times New Roman" w:hAnsi="Times New Roman" w:cs="Times New Roman"/>
          <w:sz w:val="28"/>
          <w:szCs w:val="28"/>
        </w:rPr>
        <w:t xml:space="preserve"> </w:t>
      </w:r>
    </w:p>
    <w:p w:rsidR="006E07D1" w:rsidRDefault="00B158DC" w:rsidP="00B158DC">
      <w:pPr>
        <w:spacing w:after="0" w:line="360" w:lineRule="auto"/>
        <w:ind w:firstLine="709"/>
        <w:jc w:val="both"/>
        <w:rPr>
          <w:rFonts w:ascii="Times New Roman" w:hAnsi="Times New Roman" w:cs="Times New Roman"/>
          <w:sz w:val="28"/>
          <w:szCs w:val="28"/>
        </w:rPr>
      </w:pPr>
      <w:r w:rsidRPr="00754E6B">
        <w:rPr>
          <w:rFonts w:ascii="Times New Roman" w:hAnsi="Times New Roman" w:cs="Times New Roman"/>
          <w:sz w:val="28"/>
          <w:szCs w:val="28"/>
        </w:rPr>
        <w:t>В отче</w:t>
      </w:r>
      <w:r>
        <w:rPr>
          <w:rFonts w:ascii="Times New Roman" w:hAnsi="Times New Roman" w:cs="Times New Roman"/>
          <w:sz w:val="28"/>
          <w:szCs w:val="28"/>
        </w:rPr>
        <w:t>тном году в области добычи нефти П</w:t>
      </w:r>
      <w:r w:rsidRPr="00754E6B">
        <w:rPr>
          <w:rFonts w:ascii="Times New Roman" w:hAnsi="Times New Roman" w:cs="Times New Roman"/>
          <w:sz w:val="28"/>
          <w:szCs w:val="28"/>
        </w:rPr>
        <w:t>АО  «Сургутнефтегаз» была внедрена в  опытно-промышленную эксплуатацию лазерная установка для  автоматического измерения длины подвески насос</w:t>
      </w:r>
      <w:r>
        <w:rPr>
          <w:rFonts w:ascii="Times New Roman" w:hAnsi="Times New Roman" w:cs="Times New Roman"/>
          <w:sz w:val="28"/>
          <w:szCs w:val="28"/>
        </w:rPr>
        <w:t>но-ком</w:t>
      </w:r>
      <w:r w:rsidRPr="00754E6B">
        <w:rPr>
          <w:rFonts w:ascii="Times New Roman" w:hAnsi="Times New Roman" w:cs="Times New Roman"/>
          <w:sz w:val="28"/>
          <w:szCs w:val="28"/>
        </w:rPr>
        <w:t xml:space="preserve">прессорных труб с </w:t>
      </w:r>
      <w:proofErr w:type="spellStart"/>
      <w:r w:rsidRPr="00754E6B">
        <w:rPr>
          <w:rFonts w:ascii="Times New Roman" w:hAnsi="Times New Roman" w:cs="Times New Roman"/>
          <w:sz w:val="28"/>
          <w:szCs w:val="28"/>
        </w:rPr>
        <w:t>маркиратором</w:t>
      </w:r>
      <w:proofErr w:type="spellEnd"/>
      <w:r w:rsidRPr="00754E6B">
        <w:rPr>
          <w:rFonts w:ascii="Times New Roman" w:hAnsi="Times New Roman" w:cs="Times New Roman"/>
          <w:sz w:val="28"/>
          <w:szCs w:val="28"/>
        </w:rPr>
        <w:t>. Использование установки позволит производить высокото</w:t>
      </w:r>
      <w:r w:rsidR="006E07D1">
        <w:rPr>
          <w:rFonts w:ascii="Times New Roman" w:hAnsi="Times New Roman" w:cs="Times New Roman"/>
          <w:sz w:val="28"/>
          <w:szCs w:val="28"/>
        </w:rPr>
        <w:t>чные измерения, снижать времен</w:t>
      </w:r>
      <w:r w:rsidRPr="00754E6B">
        <w:rPr>
          <w:rFonts w:ascii="Times New Roman" w:hAnsi="Times New Roman" w:cs="Times New Roman"/>
          <w:sz w:val="28"/>
          <w:szCs w:val="28"/>
        </w:rPr>
        <w:t>ные затрат</w:t>
      </w:r>
      <w:r>
        <w:rPr>
          <w:rFonts w:ascii="Times New Roman" w:hAnsi="Times New Roman" w:cs="Times New Roman"/>
          <w:sz w:val="28"/>
          <w:szCs w:val="28"/>
        </w:rPr>
        <w:t>ы бригад текущего и капитально</w:t>
      </w:r>
      <w:r w:rsidRPr="00754E6B">
        <w:rPr>
          <w:rFonts w:ascii="Times New Roman" w:hAnsi="Times New Roman" w:cs="Times New Roman"/>
          <w:sz w:val="28"/>
          <w:szCs w:val="28"/>
        </w:rPr>
        <w:t xml:space="preserve">го ремонта скважин, получать значительный экономический эффект. </w:t>
      </w:r>
    </w:p>
    <w:p w:rsidR="00B158DC" w:rsidRPr="00754E6B" w:rsidRDefault="00B158DC" w:rsidP="00B158DC">
      <w:pPr>
        <w:spacing w:after="0" w:line="360" w:lineRule="auto"/>
        <w:ind w:firstLine="709"/>
        <w:jc w:val="both"/>
        <w:rPr>
          <w:rFonts w:ascii="Times New Roman" w:hAnsi="Times New Roman" w:cs="Times New Roman"/>
          <w:sz w:val="28"/>
          <w:szCs w:val="28"/>
        </w:rPr>
      </w:pPr>
      <w:r w:rsidRPr="00754E6B">
        <w:rPr>
          <w:rFonts w:ascii="Times New Roman" w:hAnsi="Times New Roman" w:cs="Times New Roman"/>
          <w:sz w:val="28"/>
          <w:szCs w:val="28"/>
        </w:rPr>
        <w:t xml:space="preserve">В области дорожного строительства в  2016  году Компания запустила в  работу новый современный мобильный асфальтобетонный завод контейнерного типа, который собирается в  течение двух–трех суток. Использование данного комплекса позволит </w:t>
      </w:r>
      <w:r w:rsidR="006E07D1">
        <w:rPr>
          <w:rFonts w:ascii="Times New Roman" w:hAnsi="Times New Roman" w:cs="Times New Roman"/>
          <w:sz w:val="28"/>
          <w:szCs w:val="28"/>
        </w:rPr>
        <w:t>ОАО «Сургутнефтегаз» существен</w:t>
      </w:r>
      <w:r w:rsidRPr="00754E6B">
        <w:rPr>
          <w:rFonts w:ascii="Times New Roman" w:hAnsi="Times New Roman" w:cs="Times New Roman"/>
          <w:sz w:val="28"/>
          <w:szCs w:val="28"/>
        </w:rPr>
        <w:t xml:space="preserve">но экономить затраты на  транспортировку  и  сокращать сроки выполнения работ при  освоении отдаленных объектов. </w:t>
      </w:r>
    </w:p>
    <w:p w:rsidR="006E07D1" w:rsidRDefault="00B158DC" w:rsidP="00B158DC">
      <w:pPr>
        <w:spacing w:after="0" w:line="360" w:lineRule="auto"/>
        <w:ind w:firstLine="709"/>
        <w:jc w:val="both"/>
        <w:rPr>
          <w:rFonts w:ascii="Times New Roman" w:hAnsi="Times New Roman" w:cs="Times New Roman"/>
          <w:sz w:val="28"/>
          <w:szCs w:val="28"/>
        </w:rPr>
      </w:pPr>
      <w:r w:rsidRPr="00754E6B">
        <w:rPr>
          <w:rFonts w:ascii="Times New Roman" w:hAnsi="Times New Roman" w:cs="Times New Roman"/>
          <w:sz w:val="28"/>
          <w:szCs w:val="28"/>
        </w:rPr>
        <w:t>В сфере нефтепереработки в 2016 год</w:t>
      </w:r>
      <w:proofErr w:type="gramStart"/>
      <w:r w:rsidRPr="00754E6B">
        <w:rPr>
          <w:rFonts w:ascii="Times New Roman" w:hAnsi="Times New Roman" w:cs="Times New Roman"/>
          <w:sz w:val="28"/>
          <w:szCs w:val="28"/>
        </w:rPr>
        <w:t>у ООО</w:t>
      </w:r>
      <w:proofErr w:type="gramEnd"/>
      <w:r w:rsidRPr="00754E6B">
        <w:rPr>
          <w:rFonts w:ascii="Times New Roman" w:hAnsi="Times New Roman" w:cs="Times New Roman"/>
          <w:sz w:val="28"/>
          <w:szCs w:val="28"/>
        </w:rPr>
        <w:t xml:space="preserve"> «КИНЕФ» были проведены испытания опытно-промышленного образца топлива для  реактивных двигателей марки ТС-1 по  ГОСТ  10227-86, полученного по  новой технологии, на  стойкость к  воздействию плесневых грибов и бактерий и его воздействию на  резины различных марок. </w:t>
      </w:r>
    </w:p>
    <w:p w:rsidR="00754E6B" w:rsidRDefault="00B158DC" w:rsidP="00B158D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Эффективность внедрения мероприятий представлены на рисунке 2.</w:t>
      </w:r>
    </w:p>
    <w:p w:rsidR="000D09E3" w:rsidRDefault="000C074E" w:rsidP="00932B96">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14:anchorId="25163F70" wp14:editId="618C690D">
            <wp:extent cx="5486400" cy="2308485"/>
            <wp:effectExtent l="0" t="0" r="0"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207649" w:rsidRDefault="000C074E" w:rsidP="00932B96">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Рисунок 2 – Экономическая эффективность внедрения инновационных технологий ПАО «Сургутнефтегаз» за 2012-2016 гг., </w:t>
      </w:r>
      <w:proofErr w:type="spellStart"/>
      <w:r>
        <w:rPr>
          <w:rFonts w:ascii="Times New Roman" w:hAnsi="Times New Roman" w:cs="Times New Roman"/>
          <w:sz w:val="28"/>
          <w:szCs w:val="28"/>
        </w:rPr>
        <w:t>млрд</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roofErr w:type="spellEnd"/>
      <w:r>
        <w:rPr>
          <w:rFonts w:ascii="Times New Roman" w:hAnsi="Times New Roman" w:cs="Times New Roman"/>
          <w:sz w:val="28"/>
          <w:szCs w:val="28"/>
        </w:rPr>
        <w:t>.</w:t>
      </w:r>
    </w:p>
    <w:p w:rsidR="00B158DC" w:rsidRDefault="00B158DC" w:rsidP="00932B96">
      <w:pPr>
        <w:spacing w:after="0" w:line="360" w:lineRule="auto"/>
        <w:ind w:firstLine="709"/>
        <w:jc w:val="both"/>
        <w:rPr>
          <w:rFonts w:ascii="Times New Roman" w:hAnsi="Times New Roman" w:cs="Times New Roman"/>
          <w:sz w:val="28"/>
          <w:szCs w:val="28"/>
        </w:rPr>
      </w:pPr>
    </w:p>
    <w:p w:rsidR="00754E6B" w:rsidRDefault="00754E6B" w:rsidP="00932B96">
      <w:pPr>
        <w:spacing w:after="0" w:line="360" w:lineRule="auto"/>
        <w:ind w:firstLine="709"/>
        <w:jc w:val="both"/>
        <w:rPr>
          <w:rFonts w:ascii="Times New Roman" w:hAnsi="Times New Roman" w:cs="Times New Roman"/>
          <w:sz w:val="28"/>
          <w:szCs w:val="28"/>
        </w:rPr>
      </w:pPr>
      <w:r w:rsidRPr="00754E6B">
        <w:rPr>
          <w:rFonts w:ascii="Times New Roman" w:hAnsi="Times New Roman" w:cs="Times New Roman"/>
          <w:sz w:val="28"/>
          <w:szCs w:val="28"/>
        </w:rPr>
        <w:t>Для поис</w:t>
      </w:r>
      <w:r w:rsidR="00B158DC">
        <w:rPr>
          <w:rFonts w:ascii="Times New Roman" w:hAnsi="Times New Roman" w:cs="Times New Roman"/>
          <w:sz w:val="28"/>
          <w:szCs w:val="28"/>
        </w:rPr>
        <w:t>ка нестандартных подходов и ре</w:t>
      </w:r>
      <w:r w:rsidRPr="00754E6B">
        <w:rPr>
          <w:rFonts w:ascii="Times New Roman" w:hAnsi="Times New Roman" w:cs="Times New Roman"/>
          <w:sz w:val="28"/>
          <w:szCs w:val="28"/>
        </w:rPr>
        <w:t>шений Ком</w:t>
      </w:r>
      <w:r w:rsidR="00B158DC">
        <w:rPr>
          <w:rFonts w:ascii="Times New Roman" w:hAnsi="Times New Roman" w:cs="Times New Roman"/>
          <w:sz w:val="28"/>
          <w:szCs w:val="28"/>
        </w:rPr>
        <w:t>пания активно вовлекает в  про</w:t>
      </w:r>
      <w:r w:rsidRPr="00754E6B">
        <w:rPr>
          <w:rFonts w:ascii="Times New Roman" w:hAnsi="Times New Roman" w:cs="Times New Roman"/>
          <w:sz w:val="28"/>
          <w:szCs w:val="28"/>
        </w:rPr>
        <w:t xml:space="preserve">цесс научной </w:t>
      </w:r>
      <w:r w:rsidR="00B158DC">
        <w:rPr>
          <w:rFonts w:ascii="Times New Roman" w:hAnsi="Times New Roman" w:cs="Times New Roman"/>
          <w:sz w:val="28"/>
          <w:szCs w:val="28"/>
        </w:rPr>
        <w:t>деятельности своих сотрудни</w:t>
      </w:r>
      <w:r w:rsidRPr="00754E6B">
        <w:rPr>
          <w:rFonts w:ascii="Times New Roman" w:hAnsi="Times New Roman" w:cs="Times New Roman"/>
          <w:sz w:val="28"/>
          <w:szCs w:val="28"/>
        </w:rPr>
        <w:t>ков, уделяет большое внимание защите их научно-технических разработок. В 2016 году в рациона</w:t>
      </w:r>
      <w:r w:rsidR="00B158DC">
        <w:rPr>
          <w:rFonts w:ascii="Times New Roman" w:hAnsi="Times New Roman" w:cs="Times New Roman"/>
          <w:sz w:val="28"/>
          <w:szCs w:val="28"/>
        </w:rPr>
        <w:t>лизаторской работе приняли уча</w:t>
      </w:r>
      <w:r w:rsidRPr="00754E6B">
        <w:rPr>
          <w:rFonts w:ascii="Times New Roman" w:hAnsi="Times New Roman" w:cs="Times New Roman"/>
          <w:sz w:val="28"/>
          <w:szCs w:val="28"/>
        </w:rPr>
        <w:t xml:space="preserve">стие 3  717  сотрудников ОАО  </w:t>
      </w:r>
      <w:r w:rsidR="00B158DC">
        <w:rPr>
          <w:rFonts w:ascii="Times New Roman" w:hAnsi="Times New Roman" w:cs="Times New Roman"/>
          <w:sz w:val="28"/>
          <w:szCs w:val="28"/>
        </w:rPr>
        <w:t>«Сургутнеф</w:t>
      </w:r>
      <w:r w:rsidRPr="00754E6B">
        <w:rPr>
          <w:rFonts w:ascii="Times New Roman" w:hAnsi="Times New Roman" w:cs="Times New Roman"/>
          <w:sz w:val="28"/>
          <w:szCs w:val="28"/>
        </w:rPr>
        <w:t>тегаз», б</w:t>
      </w:r>
      <w:r w:rsidR="00B158DC">
        <w:rPr>
          <w:rFonts w:ascii="Times New Roman" w:hAnsi="Times New Roman" w:cs="Times New Roman"/>
          <w:sz w:val="28"/>
          <w:szCs w:val="28"/>
        </w:rPr>
        <w:t>ыло внедрено 2  263  рационали</w:t>
      </w:r>
      <w:r w:rsidRPr="00754E6B">
        <w:rPr>
          <w:rFonts w:ascii="Times New Roman" w:hAnsi="Times New Roman" w:cs="Times New Roman"/>
          <w:sz w:val="28"/>
          <w:szCs w:val="28"/>
        </w:rPr>
        <w:t xml:space="preserve">заторских предложения с  экономическим эффектом 1 090 млн руб., в </w:t>
      </w:r>
      <w:proofErr w:type="spellStart"/>
      <w:r w:rsidRPr="00754E6B">
        <w:rPr>
          <w:rFonts w:ascii="Times New Roman" w:hAnsi="Times New Roman" w:cs="Times New Roman"/>
          <w:sz w:val="28"/>
          <w:szCs w:val="28"/>
        </w:rPr>
        <w:t>т.ч</w:t>
      </w:r>
      <w:proofErr w:type="spellEnd"/>
      <w:r w:rsidRPr="00754E6B">
        <w:rPr>
          <w:rFonts w:ascii="Times New Roman" w:hAnsi="Times New Roman" w:cs="Times New Roman"/>
          <w:sz w:val="28"/>
          <w:szCs w:val="28"/>
        </w:rPr>
        <w:t>. сэкономлено материально-технических ресурсов на сумму 429 млн руб., электроэнергии – 19 млн руб., трудозатраты снижены на 49 млн руб.</w:t>
      </w:r>
    </w:p>
    <w:p w:rsidR="00207649" w:rsidRDefault="00207649" w:rsidP="00932B9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и</w:t>
      </w:r>
      <w:r w:rsidRPr="00207649">
        <w:rPr>
          <w:rFonts w:ascii="Times New Roman" w:hAnsi="Times New Roman" w:cs="Times New Roman"/>
          <w:sz w:val="28"/>
          <w:szCs w:val="28"/>
        </w:rPr>
        <w:t xml:space="preserve">нновационная деятельность очень важна на  предприятии, так как  в современных условиях успешная деятельность предприятий невозможна без инноваций. Это подтверждается развитием предприятия ОАО «Сургутнефтегаз»,  где повышению эффективности производства способствуют нововведения.  </w:t>
      </w:r>
    </w:p>
    <w:p w:rsidR="00564851" w:rsidRDefault="00564851" w:rsidP="00932B96">
      <w:pPr>
        <w:spacing w:after="0" w:line="360" w:lineRule="auto"/>
        <w:ind w:firstLine="709"/>
        <w:jc w:val="both"/>
        <w:rPr>
          <w:rFonts w:ascii="Times New Roman" w:hAnsi="Times New Roman" w:cs="Times New Roman"/>
          <w:sz w:val="28"/>
          <w:szCs w:val="28"/>
        </w:rPr>
      </w:pPr>
    </w:p>
    <w:p w:rsidR="00564851" w:rsidRDefault="00564851" w:rsidP="00932B96">
      <w:pPr>
        <w:spacing w:after="0" w:line="360" w:lineRule="auto"/>
        <w:ind w:firstLine="709"/>
        <w:jc w:val="both"/>
        <w:rPr>
          <w:rFonts w:ascii="Times New Roman" w:hAnsi="Times New Roman" w:cs="Times New Roman"/>
          <w:b/>
          <w:sz w:val="28"/>
          <w:szCs w:val="28"/>
          <w:u w:val="single"/>
        </w:rPr>
      </w:pPr>
      <w:r w:rsidRPr="00564851">
        <w:rPr>
          <w:rFonts w:ascii="Times New Roman" w:hAnsi="Times New Roman" w:cs="Times New Roman"/>
          <w:b/>
          <w:sz w:val="28"/>
          <w:szCs w:val="28"/>
          <w:u w:val="single"/>
        </w:rPr>
        <w:t>Список литературы</w:t>
      </w:r>
    </w:p>
    <w:p w:rsidR="00564851" w:rsidRPr="00564851" w:rsidRDefault="00564851" w:rsidP="00564851">
      <w:pPr>
        <w:spacing w:after="0" w:line="360" w:lineRule="auto"/>
        <w:ind w:firstLine="709"/>
        <w:jc w:val="both"/>
        <w:rPr>
          <w:rFonts w:ascii="Times New Roman" w:hAnsi="Times New Roman" w:cs="Times New Roman"/>
          <w:sz w:val="28"/>
          <w:szCs w:val="28"/>
        </w:rPr>
      </w:pPr>
      <w:r w:rsidRPr="00564851">
        <w:rPr>
          <w:rFonts w:ascii="Times New Roman" w:hAnsi="Times New Roman" w:cs="Times New Roman"/>
          <w:sz w:val="28"/>
          <w:szCs w:val="28"/>
        </w:rPr>
        <w:t xml:space="preserve">1. </w:t>
      </w:r>
      <w:proofErr w:type="spellStart"/>
      <w:r w:rsidRPr="00564851">
        <w:rPr>
          <w:rFonts w:ascii="Times New Roman" w:hAnsi="Times New Roman" w:cs="Times New Roman"/>
          <w:sz w:val="28"/>
          <w:szCs w:val="28"/>
        </w:rPr>
        <w:t>Маннапов</w:t>
      </w:r>
      <w:proofErr w:type="spellEnd"/>
      <w:r w:rsidRPr="00564851">
        <w:rPr>
          <w:rFonts w:ascii="Times New Roman" w:hAnsi="Times New Roman" w:cs="Times New Roman"/>
          <w:sz w:val="28"/>
          <w:szCs w:val="28"/>
        </w:rPr>
        <w:t xml:space="preserve">, А. Система управления инновационной деятельностью в организации / А. </w:t>
      </w:r>
      <w:proofErr w:type="spellStart"/>
      <w:r w:rsidRPr="00564851">
        <w:rPr>
          <w:rFonts w:ascii="Times New Roman" w:hAnsi="Times New Roman" w:cs="Times New Roman"/>
          <w:sz w:val="28"/>
          <w:szCs w:val="28"/>
        </w:rPr>
        <w:t>Маннапов</w:t>
      </w:r>
      <w:proofErr w:type="spellEnd"/>
      <w:r w:rsidRPr="00564851">
        <w:rPr>
          <w:rFonts w:ascii="Times New Roman" w:hAnsi="Times New Roman" w:cs="Times New Roman"/>
          <w:sz w:val="28"/>
          <w:szCs w:val="28"/>
        </w:rPr>
        <w:t xml:space="preserve"> // Проблемы теории и практики управления. – 2013. – № 6. – С. 98-104.</w:t>
      </w:r>
    </w:p>
    <w:p w:rsidR="00564851" w:rsidRPr="00564851" w:rsidRDefault="00564851" w:rsidP="005648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Pr="00564851">
        <w:rPr>
          <w:rFonts w:ascii="Times New Roman" w:hAnsi="Times New Roman" w:cs="Times New Roman"/>
          <w:sz w:val="28"/>
          <w:szCs w:val="28"/>
        </w:rPr>
        <w:t xml:space="preserve">. </w:t>
      </w:r>
      <w:proofErr w:type="spellStart"/>
      <w:r w:rsidRPr="00564851">
        <w:rPr>
          <w:rFonts w:ascii="Times New Roman" w:hAnsi="Times New Roman" w:cs="Times New Roman"/>
          <w:sz w:val="28"/>
          <w:szCs w:val="28"/>
        </w:rPr>
        <w:t>Вольский</w:t>
      </w:r>
      <w:proofErr w:type="spellEnd"/>
      <w:r w:rsidRPr="00564851">
        <w:rPr>
          <w:rFonts w:ascii="Times New Roman" w:hAnsi="Times New Roman" w:cs="Times New Roman"/>
          <w:sz w:val="28"/>
          <w:szCs w:val="28"/>
        </w:rPr>
        <w:t xml:space="preserve">, А. Инновационный фактор обеспечения устойчивого экономического развития / А. </w:t>
      </w:r>
      <w:proofErr w:type="spellStart"/>
      <w:r w:rsidRPr="00564851">
        <w:rPr>
          <w:rFonts w:ascii="Times New Roman" w:hAnsi="Times New Roman" w:cs="Times New Roman"/>
          <w:sz w:val="28"/>
          <w:szCs w:val="28"/>
        </w:rPr>
        <w:t>Вольский</w:t>
      </w:r>
      <w:proofErr w:type="spellEnd"/>
      <w:r w:rsidRPr="00564851">
        <w:rPr>
          <w:rFonts w:ascii="Times New Roman" w:hAnsi="Times New Roman" w:cs="Times New Roman"/>
          <w:sz w:val="28"/>
          <w:szCs w:val="28"/>
        </w:rPr>
        <w:t>. — М., 2014, №1. с.4-12</w:t>
      </w:r>
    </w:p>
    <w:p w:rsidR="00564851" w:rsidRPr="00564851" w:rsidRDefault="00564851" w:rsidP="005648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564851">
        <w:rPr>
          <w:rFonts w:ascii="Times New Roman" w:hAnsi="Times New Roman" w:cs="Times New Roman"/>
          <w:sz w:val="28"/>
          <w:szCs w:val="28"/>
        </w:rPr>
        <w:t>. В</w:t>
      </w:r>
      <w:r w:rsidRPr="00564851">
        <w:rPr>
          <w:rFonts w:ascii="Times New Roman" w:hAnsi="Times New Roman" w:cs="Times New Roman"/>
          <w:sz w:val="28"/>
          <w:szCs w:val="28"/>
        </w:rPr>
        <w:t>оронецкий, Л.И. Управление интеллектуальной собственностью и инновационная экономика: Научно-инновационная политика в регионах Беларуси: Н 34 Материалы республиканской научно-практической конференции (Гродно, 19–20 октября 2014г.). — Мн.: ГУ «</w:t>
      </w:r>
      <w:proofErr w:type="spellStart"/>
      <w:r w:rsidRPr="00564851">
        <w:rPr>
          <w:rFonts w:ascii="Times New Roman" w:hAnsi="Times New Roman" w:cs="Times New Roman"/>
          <w:sz w:val="28"/>
          <w:szCs w:val="28"/>
        </w:rPr>
        <w:t>БелИСА</w:t>
      </w:r>
      <w:proofErr w:type="spellEnd"/>
      <w:r w:rsidRPr="00564851">
        <w:rPr>
          <w:rFonts w:ascii="Times New Roman" w:hAnsi="Times New Roman" w:cs="Times New Roman"/>
          <w:sz w:val="28"/>
          <w:szCs w:val="28"/>
        </w:rPr>
        <w:t>», 2014.— 100с.</w:t>
      </w:r>
    </w:p>
    <w:p w:rsidR="00564851" w:rsidRPr="00564851" w:rsidRDefault="00564851" w:rsidP="005648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564851">
        <w:rPr>
          <w:rFonts w:ascii="Times New Roman" w:hAnsi="Times New Roman" w:cs="Times New Roman"/>
          <w:sz w:val="28"/>
          <w:szCs w:val="28"/>
        </w:rPr>
        <w:t>.</w:t>
      </w:r>
      <w:r w:rsidRPr="00564851">
        <w:rPr>
          <w:rFonts w:ascii="Times New Roman" w:hAnsi="Times New Roman" w:cs="Times New Roman"/>
          <w:sz w:val="28"/>
          <w:szCs w:val="28"/>
        </w:rPr>
        <w:t>Гончаров, В. И. Менеджмент предприятия</w:t>
      </w:r>
      <w:proofErr w:type="gramStart"/>
      <w:r w:rsidRPr="00564851">
        <w:rPr>
          <w:rFonts w:ascii="Times New Roman" w:hAnsi="Times New Roman" w:cs="Times New Roman"/>
          <w:sz w:val="28"/>
          <w:szCs w:val="28"/>
        </w:rPr>
        <w:t>.</w:t>
      </w:r>
      <w:proofErr w:type="gramEnd"/>
      <w:r w:rsidRPr="00564851">
        <w:rPr>
          <w:rFonts w:ascii="Times New Roman" w:hAnsi="Times New Roman" w:cs="Times New Roman"/>
          <w:sz w:val="28"/>
          <w:szCs w:val="28"/>
        </w:rPr>
        <w:t xml:space="preserve"> </w:t>
      </w:r>
      <w:proofErr w:type="gramStart"/>
      <w:r w:rsidRPr="00564851">
        <w:rPr>
          <w:rFonts w:ascii="Times New Roman" w:hAnsi="Times New Roman" w:cs="Times New Roman"/>
          <w:sz w:val="28"/>
          <w:szCs w:val="28"/>
        </w:rPr>
        <w:t>в</w:t>
      </w:r>
      <w:proofErr w:type="gramEnd"/>
      <w:r w:rsidRPr="00564851">
        <w:rPr>
          <w:rFonts w:ascii="Times New Roman" w:hAnsi="Times New Roman" w:cs="Times New Roman"/>
          <w:sz w:val="28"/>
          <w:szCs w:val="28"/>
        </w:rPr>
        <w:t xml:space="preserve"> 2 ч. / В.И. Гончаров. – Ч. 1. – Минск: Изд-во МИУ, 2015. – 244 с.</w:t>
      </w:r>
    </w:p>
    <w:p w:rsidR="00564851" w:rsidRPr="00564851" w:rsidRDefault="00564851" w:rsidP="005648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564851">
        <w:rPr>
          <w:rFonts w:ascii="Times New Roman" w:hAnsi="Times New Roman" w:cs="Times New Roman"/>
          <w:sz w:val="28"/>
          <w:szCs w:val="28"/>
        </w:rPr>
        <w:t>.</w:t>
      </w:r>
      <w:r w:rsidRPr="00564851">
        <w:rPr>
          <w:rFonts w:ascii="Times New Roman" w:hAnsi="Times New Roman" w:cs="Times New Roman"/>
          <w:sz w:val="28"/>
          <w:szCs w:val="28"/>
        </w:rPr>
        <w:t>Гончаров, В.И. Менеджмент: учеб</w:t>
      </w:r>
      <w:proofErr w:type="gramStart"/>
      <w:r w:rsidRPr="00564851">
        <w:rPr>
          <w:rFonts w:ascii="Times New Roman" w:hAnsi="Times New Roman" w:cs="Times New Roman"/>
          <w:sz w:val="28"/>
          <w:szCs w:val="28"/>
        </w:rPr>
        <w:t>.</w:t>
      </w:r>
      <w:proofErr w:type="gramEnd"/>
      <w:r w:rsidRPr="00564851">
        <w:rPr>
          <w:rFonts w:ascii="Times New Roman" w:hAnsi="Times New Roman" w:cs="Times New Roman"/>
          <w:sz w:val="28"/>
          <w:szCs w:val="28"/>
        </w:rPr>
        <w:t xml:space="preserve"> </w:t>
      </w:r>
      <w:proofErr w:type="gramStart"/>
      <w:r w:rsidRPr="00564851">
        <w:rPr>
          <w:rFonts w:ascii="Times New Roman" w:hAnsi="Times New Roman" w:cs="Times New Roman"/>
          <w:sz w:val="28"/>
          <w:szCs w:val="28"/>
        </w:rPr>
        <w:t>п</w:t>
      </w:r>
      <w:proofErr w:type="gramEnd"/>
      <w:r w:rsidRPr="00564851">
        <w:rPr>
          <w:rFonts w:ascii="Times New Roman" w:hAnsi="Times New Roman" w:cs="Times New Roman"/>
          <w:sz w:val="28"/>
          <w:szCs w:val="28"/>
        </w:rPr>
        <w:t xml:space="preserve">особие / В.И. Гончаров. – Минск: </w:t>
      </w:r>
      <w:proofErr w:type="spellStart"/>
      <w:r w:rsidRPr="00564851">
        <w:rPr>
          <w:rFonts w:ascii="Times New Roman" w:hAnsi="Times New Roman" w:cs="Times New Roman"/>
          <w:sz w:val="28"/>
          <w:szCs w:val="28"/>
        </w:rPr>
        <w:t>Мисанта</w:t>
      </w:r>
      <w:proofErr w:type="spellEnd"/>
      <w:r w:rsidRPr="00564851">
        <w:rPr>
          <w:rFonts w:ascii="Times New Roman" w:hAnsi="Times New Roman" w:cs="Times New Roman"/>
          <w:sz w:val="28"/>
          <w:szCs w:val="28"/>
        </w:rPr>
        <w:t>, 2015. – 624 с.</w:t>
      </w:r>
    </w:p>
    <w:p w:rsidR="00564851" w:rsidRPr="00564851" w:rsidRDefault="00564851" w:rsidP="005648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564851">
        <w:rPr>
          <w:rFonts w:ascii="Times New Roman" w:hAnsi="Times New Roman" w:cs="Times New Roman"/>
          <w:sz w:val="28"/>
          <w:szCs w:val="28"/>
        </w:rPr>
        <w:t>.</w:t>
      </w:r>
      <w:r w:rsidRPr="00564851">
        <w:rPr>
          <w:rFonts w:ascii="Times New Roman" w:hAnsi="Times New Roman" w:cs="Times New Roman"/>
          <w:sz w:val="28"/>
          <w:szCs w:val="28"/>
        </w:rPr>
        <w:t>Горемыкин, В.А. Планирование на предприятии: учеб</w:t>
      </w:r>
      <w:proofErr w:type="gramStart"/>
      <w:r w:rsidRPr="00564851">
        <w:rPr>
          <w:rFonts w:ascii="Times New Roman" w:hAnsi="Times New Roman" w:cs="Times New Roman"/>
          <w:sz w:val="28"/>
          <w:szCs w:val="28"/>
        </w:rPr>
        <w:t>.</w:t>
      </w:r>
      <w:proofErr w:type="gramEnd"/>
      <w:r w:rsidRPr="00564851">
        <w:rPr>
          <w:rFonts w:ascii="Times New Roman" w:hAnsi="Times New Roman" w:cs="Times New Roman"/>
          <w:sz w:val="28"/>
          <w:szCs w:val="28"/>
        </w:rPr>
        <w:t xml:space="preserve"> </w:t>
      </w:r>
      <w:proofErr w:type="gramStart"/>
      <w:r w:rsidRPr="00564851">
        <w:rPr>
          <w:rFonts w:ascii="Times New Roman" w:hAnsi="Times New Roman" w:cs="Times New Roman"/>
          <w:sz w:val="28"/>
          <w:szCs w:val="28"/>
        </w:rPr>
        <w:t>п</w:t>
      </w:r>
      <w:proofErr w:type="gramEnd"/>
      <w:r w:rsidRPr="00564851">
        <w:rPr>
          <w:rFonts w:ascii="Times New Roman" w:hAnsi="Times New Roman" w:cs="Times New Roman"/>
          <w:sz w:val="28"/>
          <w:szCs w:val="28"/>
        </w:rPr>
        <w:t xml:space="preserve">особие / В.А. Горемыкин. – М.: </w:t>
      </w:r>
      <w:proofErr w:type="spellStart"/>
      <w:r w:rsidRPr="00564851">
        <w:rPr>
          <w:rFonts w:ascii="Times New Roman" w:hAnsi="Times New Roman" w:cs="Times New Roman"/>
          <w:sz w:val="28"/>
          <w:szCs w:val="28"/>
        </w:rPr>
        <w:t>Юрайт</w:t>
      </w:r>
      <w:proofErr w:type="spellEnd"/>
      <w:r w:rsidRPr="00564851">
        <w:rPr>
          <w:rFonts w:ascii="Times New Roman" w:hAnsi="Times New Roman" w:cs="Times New Roman"/>
          <w:sz w:val="28"/>
          <w:szCs w:val="28"/>
        </w:rPr>
        <w:t>, 2012. – 704 с.</w:t>
      </w:r>
    </w:p>
    <w:p w:rsidR="00564851" w:rsidRPr="00564851" w:rsidRDefault="00564851" w:rsidP="005648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564851">
        <w:rPr>
          <w:rFonts w:ascii="Times New Roman" w:hAnsi="Times New Roman" w:cs="Times New Roman"/>
          <w:sz w:val="28"/>
          <w:szCs w:val="28"/>
        </w:rPr>
        <w:t>.</w:t>
      </w:r>
      <w:r w:rsidRPr="00564851">
        <w:rPr>
          <w:rFonts w:ascii="Times New Roman" w:hAnsi="Times New Roman" w:cs="Times New Roman"/>
          <w:sz w:val="28"/>
          <w:szCs w:val="28"/>
        </w:rPr>
        <w:t xml:space="preserve">Дагаев, А. Рычаги инновационного роста / А. </w:t>
      </w:r>
      <w:proofErr w:type="spellStart"/>
      <w:r w:rsidRPr="00564851">
        <w:rPr>
          <w:rFonts w:ascii="Times New Roman" w:hAnsi="Times New Roman" w:cs="Times New Roman"/>
          <w:sz w:val="28"/>
          <w:szCs w:val="28"/>
        </w:rPr>
        <w:t>Дагаев</w:t>
      </w:r>
      <w:proofErr w:type="spellEnd"/>
      <w:r w:rsidRPr="00564851">
        <w:rPr>
          <w:rFonts w:ascii="Times New Roman" w:hAnsi="Times New Roman" w:cs="Times New Roman"/>
          <w:sz w:val="28"/>
          <w:szCs w:val="28"/>
        </w:rPr>
        <w:t xml:space="preserve"> // Проблемы теории и практики управления. — М., № 5 2015. с. 55.</w:t>
      </w:r>
    </w:p>
    <w:p w:rsidR="00564851" w:rsidRPr="00564851" w:rsidRDefault="00564851" w:rsidP="005648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Pr="00564851">
        <w:rPr>
          <w:rFonts w:ascii="Times New Roman" w:hAnsi="Times New Roman" w:cs="Times New Roman"/>
          <w:sz w:val="28"/>
          <w:szCs w:val="28"/>
        </w:rPr>
        <w:t xml:space="preserve">. </w:t>
      </w:r>
      <w:r w:rsidRPr="00564851">
        <w:rPr>
          <w:rFonts w:ascii="Times New Roman" w:hAnsi="Times New Roman" w:cs="Times New Roman"/>
          <w:sz w:val="28"/>
          <w:szCs w:val="28"/>
        </w:rPr>
        <w:t xml:space="preserve">Инновации – фактор экономического роста / П.Г. Никитенко, А.В. Марков, И.И. </w:t>
      </w:r>
      <w:proofErr w:type="spellStart"/>
      <w:r w:rsidRPr="00564851">
        <w:rPr>
          <w:rFonts w:ascii="Times New Roman" w:hAnsi="Times New Roman" w:cs="Times New Roman"/>
          <w:sz w:val="28"/>
          <w:szCs w:val="28"/>
        </w:rPr>
        <w:t>Сержинский</w:t>
      </w:r>
      <w:proofErr w:type="spellEnd"/>
      <w:r w:rsidRPr="00564851">
        <w:rPr>
          <w:rFonts w:ascii="Times New Roman" w:hAnsi="Times New Roman" w:cs="Times New Roman"/>
          <w:sz w:val="28"/>
          <w:szCs w:val="28"/>
        </w:rPr>
        <w:t xml:space="preserve">, В.А. </w:t>
      </w:r>
      <w:proofErr w:type="spellStart"/>
      <w:r w:rsidRPr="00564851">
        <w:rPr>
          <w:rFonts w:ascii="Times New Roman" w:hAnsi="Times New Roman" w:cs="Times New Roman"/>
          <w:sz w:val="28"/>
          <w:szCs w:val="28"/>
        </w:rPr>
        <w:t>Колотухин</w:t>
      </w:r>
      <w:proofErr w:type="spellEnd"/>
      <w:r w:rsidRPr="00564851">
        <w:rPr>
          <w:rFonts w:ascii="Times New Roman" w:hAnsi="Times New Roman" w:cs="Times New Roman"/>
          <w:sz w:val="28"/>
          <w:szCs w:val="28"/>
        </w:rPr>
        <w:t>; под ред. П.Г. Никитенко. – Минск: НООО «БИЛ-С» 2014. – 85 с.</w:t>
      </w:r>
    </w:p>
    <w:p w:rsidR="00564851" w:rsidRPr="00564851" w:rsidRDefault="00564851" w:rsidP="005648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564851">
        <w:rPr>
          <w:rFonts w:ascii="Times New Roman" w:hAnsi="Times New Roman" w:cs="Times New Roman"/>
          <w:sz w:val="28"/>
          <w:szCs w:val="28"/>
        </w:rPr>
        <w:t>.</w:t>
      </w:r>
      <w:r w:rsidRPr="00564851">
        <w:rPr>
          <w:rFonts w:ascii="Times New Roman" w:hAnsi="Times New Roman" w:cs="Times New Roman"/>
          <w:sz w:val="28"/>
          <w:szCs w:val="28"/>
        </w:rPr>
        <w:t>Инновационная экономика. – М.: Наука, 2016. – 294 с.</w:t>
      </w:r>
    </w:p>
    <w:p w:rsidR="00564851" w:rsidRPr="00564851" w:rsidRDefault="00564851" w:rsidP="005648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Pr="00564851">
        <w:rPr>
          <w:rFonts w:ascii="Times New Roman" w:hAnsi="Times New Roman" w:cs="Times New Roman"/>
          <w:sz w:val="28"/>
          <w:szCs w:val="28"/>
        </w:rPr>
        <w:t>. Медынский, В.Г. Инновационный менеджмент / В.Г. Медынский. – М.: ИНФРА-М, 2013. – 288 с.</w:t>
      </w:r>
    </w:p>
    <w:p w:rsidR="00564851" w:rsidRPr="00564851" w:rsidRDefault="00564851" w:rsidP="005648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Pr="00564851">
        <w:rPr>
          <w:rFonts w:ascii="Times New Roman" w:hAnsi="Times New Roman" w:cs="Times New Roman"/>
          <w:sz w:val="28"/>
          <w:szCs w:val="28"/>
        </w:rPr>
        <w:t xml:space="preserve">. </w:t>
      </w:r>
      <w:r w:rsidRPr="00564851">
        <w:rPr>
          <w:rFonts w:ascii="Times New Roman" w:hAnsi="Times New Roman" w:cs="Times New Roman"/>
          <w:sz w:val="28"/>
          <w:szCs w:val="28"/>
        </w:rPr>
        <w:t xml:space="preserve">Нехорошева, Л.Н. Инновационная составляющая устойчивого развития / Л.Н. Нехорошева // Устойчивое развитие: проблемы и перспективы: материалы </w:t>
      </w:r>
      <w:proofErr w:type="spellStart"/>
      <w:r w:rsidRPr="00564851">
        <w:rPr>
          <w:rFonts w:ascii="Times New Roman" w:hAnsi="Times New Roman" w:cs="Times New Roman"/>
          <w:sz w:val="28"/>
          <w:szCs w:val="28"/>
        </w:rPr>
        <w:t>междунар</w:t>
      </w:r>
      <w:proofErr w:type="spellEnd"/>
      <w:r w:rsidRPr="00564851">
        <w:rPr>
          <w:rFonts w:ascii="Times New Roman" w:hAnsi="Times New Roman" w:cs="Times New Roman"/>
          <w:sz w:val="28"/>
          <w:szCs w:val="28"/>
        </w:rPr>
        <w:t xml:space="preserve">. науч. – </w:t>
      </w:r>
      <w:proofErr w:type="spellStart"/>
      <w:r w:rsidRPr="00564851">
        <w:rPr>
          <w:rFonts w:ascii="Times New Roman" w:hAnsi="Times New Roman" w:cs="Times New Roman"/>
          <w:sz w:val="28"/>
          <w:szCs w:val="28"/>
        </w:rPr>
        <w:t>практ</w:t>
      </w:r>
      <w:proofErr w:type="spellEnd"/>
      <w:r w:rsidRPr="00564851">
        <w:rPr>
          <w:rFonts w:ascii="Times New Roman" w:hAnsi="Times New Roman" w:cs="Times New Roman"/>
          <w:sz w:val="28"/>
          <w:szCs w:val="28"/>
        </w:rPr>
        <w:t xml:space="preserve">. </w:t>
      </w:r>
      <w:proofErr w:type="spellStart"/>
      <w:r w:rsidRPr="00564851">
        <w:rPr>
          <w:rFonts w:ascii="Times New Roman" w:hAnsi="Times New Roman" w:cs="Times New Roman"/>
          <w:sz w:val="28"/>
          <w:szCs w:val="28"/>
        </w:rPr>
        <w:t>конф</w:t>
      </w:r>
      <w:proofErr w:type="spellEnd"/>
      <w:r w:rsidRPr="00564851">
        <w:rPr>
          <w:rFonts w:ascii="Times New Roman" w:hAnsi="Times New Roman" w:cs="Times New Roman"/>
          <w:sz w:val="28"/>
          <w:szCs w:val="28"/>
        </w:rPr>
        <w:t>., Минск, 27-28 мая 2015г. – Минск, 2015.</w:t>
      </w:r>
    </w:p>
    <w:p w:rsidR="00564851" w:rsidRPr="00564851" w:rsidRDefault="00564851" w:rsidP="005648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564851">
        <w:rPr>
          <w:rFonts w:ascii="Times New Roman" w:hAnsi="Times New Roman" w:cs="Times New Roman"/>
          <w:sz w:val="28"/>
          <w:szCs w:val="28"/>
        </w:rPr>
        <w:t xml:space="preserve">2.Реймер, В. Инновационная система России: проблемы управления и перспективы / В. </w:t>
      </w:r>
      <w:proofErr w:type="spellStart"/>
      <w:r w:rsidRPr="00564851">
        <w:rPr>
          <w:rFonts w:ascii="Times New Roman" w:hAnsi="Times New Roman" w:cs="Times New Roman"/>
          <w:sz w:val="28"/>
          <w:szCs w:val="28"/>
        </w:rPr>
        <w:t>Реймер</w:t>
      </w:r>
      <w:proofErr w:type="spellEnd"/>
      <w:r w:rsidRPr="00564851">
        <w:rPr>
          <w:rFonts w:ascii="Times New Roman" w:hAnsi="Times New Roman" w:cs="Times New Roman"/>
          <w:sz w:val="28"/>
          <w:szCs w:val="28"/>
        </w:rPr>
        <w:t xml:space="preserve">, А. </w:t>
      </w:r>
      <w:proofErr w:type="spellStart"/>
      <w:r w:rsidRPr="00564851">
        <w:rPr>
          <w:rFonts w:ascii="Times New Roman" w:hAnsi="Times New Roman" w:cs="Times New Roman"/>
          <w:sz w:val="28"/>
          <w:szCs w:val="28"/>
        </w:rPr>
        <w:t>Бреусов</w:t>
      </w:r>
      <w:proofErr w:type="spellEnd"/>
      <w:r w:rsidRPr="00564851">
        <w:rPr>
          <w:rFonts w:ascii="Times New Roman" w:hAnsi="Times New Roman" w:cs="Times New Roman"/>
          <w:sz w:val="28"/>
          <w:szCs w:val="28"/>
        </w:rPr>
        <w:t xml:space="preserve"> // Международный сельскохозяйственный журнал. – 2013. – № 2. – С. 3-6.</w:t>
      </w:r>
    </w:p>
    <w:p w:rsidR="00564851" w:rsidRPr="00564851" w:rsidRDefault="00564851" w:rsidP="005648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Pr="00564851">
        <w:rPr>
          <w:rFonts w:ascii="Times New Roman" w:hAnsi="Times New Roman" w:cs="Times New Roman"/>
          <w:sz w:val="28"/>
          <w:szCs w:val="28"/>
        </w:rPr>
        <w:t>.</w:t>
      </w:r>
      <w:r w:rsidRPr="00564851">
        <w:rPr>
          <w:rFonts w:ascii="Times New Roman" w:hAnsi="Times New Roman" w:cs="Times New Roman"/>
          <w:sz w:val="28"/>
          <w:szCs w:val="28"/>
        </w:rPr>
        <w:t>Нехорошева, Л.Н. Инновационное развитие в условиях «новой экономики» / Л.Н. Нехорошева // Наука и инновации. –2013. – 3(61). – С. 13-15.</w:t>
      </w:r>
    </w:p>
    <w:p w:rsidR="00564851" w:rsidRPr="00564851" w:rsidRDefault="00564851" w:rsidP="005648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14</w:t>
      </w:r>
      <w:r w:rsidRPr="00564851">
        <w:rPr>
          <w:rFonts w:ascii="Times New Roman" w:hAnsi="Times New Roman" w:cs="Times New Roman"/>
          <w:sz w:val="28"/>
          <w:szCs w:val="28"/>
        </w:rPr>
        <w:t xml:space="preserve">.Трачук, А. Инновационная стратегия компании / А. </w:t>
      </w:r>
      <w:proofErr w:type="spellStart"/>
      <w:r w:rsidRPr="00564851">
        <w:rPr>
          <w:rFonts w:ascii="Times New Roman" w:hAnsi="Times New Roman" w:cs="Times New Roman"/>
          <w:sz w:val="28"/>
          <w:szCs w:val="28"/>
        </w:rPr>
        <w:t>Трачук</w:t>
      </w:r>
      <w:proofErr w:type="spellEnd"/>
      <w:r w:rsidRPr="00564851">
        <w:rPr>
          <w:rFonts w:ascii="Times New Roman" w:hAnsi="Times New Roman" w:cs="Times New Roman"/>
          <w:sz w:val="28"/>
          <w:szCs w:val="28"/>
        </w:rPr>
        <w:t xml:space="preserve"> // Проблемы теории и практики управления. – 2013. – № 9. – С. 75-83.</w:t>
      </w:r>
    </w:p>
    <w:p w:rsidR="00564851" w:rsidRPr="00564851" w:rsidRDefault="00564851" w:rsidP="005648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Pr="00564851">
        <w:rPr>
          <w:rFonts w:ascii="Times New Roman" w:hAnsi="Times New Roman" w:cs="Times New Roman"/>
          <w:sz w:val="28"/>
          <w:szCs w:val="28"/>
        </w:rPr>
        <w:t>.Дубинина, А. В. Особенности развития инновационной экономики в регионах России / А. В. Дубинина // Региональная экономика: теория и практика . – 2013. – № 15. – С. 31–38.</w:t>
      </w:r>
    </w:p>
    <w:p w:rsidR="00564851" w:rsidRPr="00564851" w:rsidRDefault="00564851" w:rsidP="005648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Pr="00564851">
        <w:rPr>
          <w:rFonts w:ascii="Times New Roman" w:hAnsi="Times New Roman" w:cs="Times New Roman"/>
          <w:sz w:val="28"/>
          <w:szCs w:val="28"/>
        </w:rPr>
        <w:t>.Годовой отчет ОАО «Сургутнефтегаз» за 2015-2016 гг.</w:t>
      </w:r>
    </w:p>
    <w:p w:rsidR="00564851" w:rsidRPr="00564851" w:rsidRDefault="00564851" w:rsidP="005648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Pr="00564851">
        <w:rPr>
          <w:rFonts w:ascii="Times New Roman" w:hAnsi="Times New Roman" w:cs="Times New Roman"/>
          <w:sz w:val="28"/>
          <w:szCs w:val="28"/>
        </w:rPr>
        <w:t>.Годовая бухгалтерская отчетность ОАО «Сургутнефтегаз»  за 2015-2016 гг.</w:t>
      </w:r>
    </w:p>
    <w:p w:rsidR="00564851" w:rsidRPr="00564851" w:rsidRDefault="00564851" w:rsidP="005648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Pr="00564851">
        <w:rPr>
          <w:rFonts w:ascii="Times New Roman" w:hAnsi="Times New Roman" w:cs="Times New Roman"/>
          <w:sz w:val="28"/>
          <w:szCs w:val="28"/>
        </w:rPr>
        <w:t xml:space="preserve">. </w:t>
      </w:r>
      <w:r w:rsidRPr="00564851">
        <w:rPr>
          <w:rFonts w:ascii="Times New Roman" w:hAnsi="Times New Roman" w:cs="Times New Roman"/>
          <w:sz w:val="28"/>
          <w:szCs w:val="28"/>
        </w:rPr>
        <w:t xml:space="preserve">Балабанов, И.Т. Инновационный менеджмент / </w:t>
      </w:r>
      <w:proofErr w:type="spellStart"/>
      <w:r w:rsidRPr="00564851">
        <w:rPr>
          <w:rFonts w:ascii="Times New Roman" w:hAnsi="Times New Roman" w:cs="Times New Roman"/>
          <w:sz w:val="28"/>
          <w:szCs w:val="28"/>
        </w:rPr>
        <w:t>И.Т.Балабанов</w:t>
      </w:r>
      <w:proofErr w:type="spellEnd"/>
      <w:r w:rsidRPr="00564851">
        <w:rPr>
          <w:rFonts w:ascii="Times New Roman" w:hAnsi="Times New Roman" w:cs="Times New Roman"/>
          <w:sz w:val="28"/>
          <w:szCs w:val="28"/>
        </w:rPr>
        <w:t>. – СПб: Питер, 2015 — 304с.</w:t>
      </w:r>
    </w:p>
    <w:p w:rsidR="00564851" w:rsidRPr="00564851" w:rsidRDefault="00564851" w:rsidP="005648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Pr="00564851">
        <w:rPr>
          <w:rFonts w:ascii="Times New Roman" w:hAnsi="Times New Roman" w:cs="Times New Roman"/>
          <w:sz w:val="28"/>
          <w:szCs w:val="28"/>
        </w:rPr>
        <w:t>.</w:t>
      </w:r>
      <w:r w:rsidRPr="00564851">
        <w:rPr>
          <w:rFonts w:ascii="Times New Roman" w:hAnsi="Times New Roman" w:cs="Times New Roman"/>
          <w:sz w:val="28"/>
          <w:szCs w:val="28"/>
        </w:rPr>
        <w:t xml:space="preserve">Балашевич, М.И. Малый бизнес: отечественный и зарубежный опыт / М.И. </w:t>
      </w:r>
      <w:proofErr w:type="spellStart"/>
      <w:r w:rsidRPr="00564851">
        <w:rPr>
          <w:rFonts w:ascii="Times New Roman" w:hAnsi="Times New Roman" w:cs="Times New Roman"/>
          <w:sz w:val="28"/>
          <w:szCs w:val="28"/>
        </w:rPr>
        <w:t>Балашевич</w:t>
      </w:r>
      <w:proofErr w:type="spellEnd"/>
      <w:r w:rsidRPr="00564851">
        <w:rPr>
          <w:rFonts w:ascii="Times New Roman" w:hAnsi="Times New Roman" w:cs="Times New Roman"/>
          <w:sz w:val="28"/>
          <w:szCs w:val="28"/>
        </w:rPr>
        <w:t>. – Мн. 2014. – 410 с.</w:t>
      </w:r>
    </w:p>
    <w:p w:rsidR="00564851" w:rsidRDefault="00564851" w:rsidP="005648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Pr="00564851">
        <w:rPr>
          <w:rFonts w:ascii="Times New Roman" w:hAnsi="Times New Roman" w:cs="Times New Roman"/>
          <w:sz w:val="28"/>
          <w:szCs w:val="28"/>
        </w:rPr>
        <w:t xml:space="preserve">. Волков, О.И. Экономика предприятия (фирмы): Учебник / проф. О.И. Волков, доц. О.В. Девяткина. – 3-е изд., </w:t>
      </w:r>
      <w:proofErr w:type="spellStart"/>
      <w:r w:rsidRPr="00564851">
        <w:rPr>
          <w:rFonts w:ascii="Times New Roman" w:hAnsi="Times New Roman" w:cs="Times New Roman"/>
          <w:sz w:val="28"/>
          <w:szCs w:val="28"/>
        </w:rPr>
        <w:t>перераб</w:t>
      </w:r>
      <w:proofErr w:type="spellEnd"/>
      <w:r w:rsidRPr="00564851">
        <w:rPr>
          <w:rFonts w:ascii="Times New Roman" w:hAnsi="Times New Roman" w:cs="Times New Roman"/>
          <w:sz w:val="28"/>
          <w:szCs w:val="28"/>
        </w:rPr>
        <w:t>. и доп. – М.: ИНФРА-М, 2015. – 601 с.</w:t>
      </w:r>
    </w:p>
    <w:p w:rsidR="00564851" w:rsidRDefault="00564851" w:rsidP="00564851">
      <w:pPr>
        <w:spacing w:after="0" w:line="360" w:lineRule="auto"/>
        <w:ind w:firstLine="709"/>
        <w:jc w:val="both"/>
        <w:rPr>
          <w:rFonts w:ascii="Times New Roman" w:hAnsi="Times New Roman" w:cs="Times New Roman"/>
          <w:sz w:val="28"/>
          <w:szCs w:val="28"/>
        </w:rPr>
      </w:pPr>
    </w:p>
    <w:p w:rsidR="00564851" w:rsidRDefault="00564851" w:rsidP="00564851">
      <w:pPr>
        <w:spacing w:after="0" w:line="360" w:lineRule="auto"/>
        <w:ind w:firstLine="709"/>
        <w:jc w:val="both"/>
        <w:rPr>
          <w:rFonts w:ascii="Times New Roman" w:hAnsi="Times New Roman" w:cs="Times New Roman"/>
          <w:b/>
          <w:sz w:val="28"/>
          <w:szCs w:val="28"/>
          <w:u w:val="single"/>
        </w:rPr>
      </w:pPr>
      <w:r w:rsidRPr="00564851">
        <w:rPr>
          <w:rFonts w:ascii="Times New Roman" w:hAnsi="Times New Roman" w:cs="Times New Roman"/>
          <w:b/>
          <w:sz w:val="28"/>
          <w:szCs w:val="28"/>
          <w:u w:val="single"/>
          <w:lang w:val="en-US"/>
        </w:rPr>
        <w:t>References</w:t>
      </w:r>
      <w:bookmarkStart w:id="0" w:name="_GoBack"/>
      <w:bookmarkEnd w:id="0"/>
    </w:p>
    <w:p w:rsidR="00564851" w:rsidRPr="00564851" w:rsidRDefault="00564851" w:rsidP="00564851">
      <w:pPr>
        <w:spacing w:after="0" w:line="360" w:lineRule="auto"/>
        <w:ind w:firstLine="709"/>
        <w:jc w:val="both"/>
        <w:rPr>
          <w:rFonts w:ascii="Times New Roman" w:hAnsi="Times New Roman" w:cs="Times New Roman"/>
          <w:b/>
          <w:sz w:val="28"/>
          <w:szCs w:val="28"/>
          <w:u w:val="single"/>
        </w:rPr>
      </w:pPr>
    </w:p>
    <w:p w:rsidR="00564851" w:rsidRPr="00564851" w:rsidRDefault="00564851" w:rsidP="00564851">
      <w:pPr>
        <w:spacing w:after="0" w:line="360" w:lineRule="auto"/>
        <w:ind w:firstLine="709"/>
        <w:jc w:val="both"/>
        <w:rPr>
          <w:rFonts w:ascii="Times New Roman" w:hAnsi="Times New Roman" w:cs="Times New Roman"/>
          <w:sz w:val="28"/>
          <w:szCs w:val="28"/>
          <w:lang w:val="en-US"/>
        </w:rPr>
      </w:pPr>
      <w:r w:rsidRPr="00564851">
        <w:rPr>
          <w:rFonts w:ascii="Times New Roman" w:hAnsi="Times New Roman" w:cs="Times New Roman"/>
          <w:sz w:val="28"/>
          <w:szCs w:val="28"/>
          <w:lang w:val="en-US"/>
        </w:rPr>
        <w:t xml:space="preserve">1. </w:t>
      </w:r>
      <w:proofErr w:type="spellStart"/>
      <w:r w:rsidRPr="00564851">
        <w:rPr>
          <w:rFonts w:ascii="Times New Roman" w:hAnsi="Times New Roman" w:cs="Times New Roman"/>
          <w:sz w:val="28"/>
          <w:szCs w:val="28"/>
          <w:lang w:val="en-US"/>
        </w:rPr>
        <w:t>Mannapov</w:t>
      </w:r>
      <w:proofErr w:type="spellEnd"/>
      <w:r w:rsidRPr="00564851">
        <w:rPr>
          <w:rFonts w:ascii="Times New Roman" w:hAnsi="Times New Roman" w:cs="Times New Roman"/>
          <w:sz w:val="28"/>
          <w:szCs w:val="28"/>
          <w:lang w:val="en-US"/>
        </w:rPr>
        <w:t xml:space="preserve">, A. The system of management of innovative activity in the organization / A. </w:t>
      </w:r>
      <w:proofErr w:type="spellStart"/>
      <w:r w:rsidRPr="00564851">
        <w:rPr>
          <w:rFonts w:ascii="Times New Roman" w:hAnsi="Times New Roman" w:cs="Times New Roman"/>
          <w:sz w:val="28"/>
          <w:szCs w:val="28"/>
          <w:lang w:val="en-US"/>
        </w:rPr>
        <w:t>Mannapov</w:t>
      </w:r>
      <w:proofErr w:type="spellEnd"/>
      <w:r w:rsidRPr="00564851">
        <w:rPr>
          <w:rFonts w:ascii="Times New Roman" w:hAnsi="Times New Roman" w:cs="Times New Roman"/>
          <w:sz w:val="28"/>
          <w:szCs w:val="28"/>
          <w:lang w:val="en-US"/>
        </w:rPr>
        <w:t xml:space="preserve"> // Problems of theory and practice of management. - 2013. </w:t>
      </w:r>
      <w:proofErr w:type="gramStart"/>
      <w:r w:rsidRPr="00564851">
        <w:rPr>
          <w:rFonts w:ascii="Times New Roman" w:hAnsi="Times New Roman" w:cs="Times New Roman"/>
          <w:sz w:val="28"/>
          <w:szCs w:val="28"/>
          <w:lang w:val="en-US"/>
        </w:rPr>
        <w:t>- No. 6.</w:t>
      </w:r>
      <w:proofErr w:type="gramEnd"/>
      <w:r w:rsidRPr="00564851">
        <w:rPr>
          <w:rFonts w:ascii="Times New Roman" w:hAnsi="Times New Roman" w:cs="Times New Roman"/>
          <w:sz w:val="28"/>
          <w:szCs w:val="28"/>
          <w:lang w:val="en-US"/>
        </w:rPr>
        <w:t xml:space="preserve"> - P. 98-104.</w:t>
      </w:r>
    </w:p>
    <w:p w:rsidR="00564851" w:rsidRPr="00564851" w:rsidRDefault="00564851" w:rsidP="00564851">
      <w:pPr>
        <w:spacing w:after="0" w:line="360" w:lineRule="auto"/>
        <w:ind w:firstLine="709"/>
        <w:jc w:val="both"/>
        <w:rPr>
          <w:rFonts w:ascii="Times New Roman" w:hAnsi="Times New Roman" w:cs="Times New Roman"/>
          <w:sz w:val="28"/>
          <w:szCs w:val="28"/>
          <w:lang w:val="en-US"/>
        </w:rPr>
      </w:pPr>
      <w:r w:rsidRPr="00564851">
        <w:rPr>
          <w:rFonts w:ascii="Times New Roman" w:hAnsi="Times New Roman" w:cs="Times New Roman"/>
          <w:sz w:val="28"/>
          <w:szCs w:val="28"/>
          <w:lang w:val="en-US"/>
        </w:rPr>
        <w:t>2</w:t>
      </w:r>
      <w:r w:rsidRPr="00564851">
        <w:rPr>
          <w:rFonts w:ascii="Times New Roman" w:hAnsi="Times New Roman" w:cs="Times New Roman"/>
          <w:sz w:val="28"/>
          <w:szCs w:val="28"/>
          <w:lang w:val="en-US"/>
        </w:rPr>
        <w:t xml:space="preserve">. </w:t>
      </w:r>
      <w:proofErr w:type="spellStart"/>
      <w:r w:rsidRPr="00564851">
        <w:rPr>
          <w:rFonts w:ascii="Times New Roman" w:hAnsi="Times New Roman" w:cs="Times New Roman"/>
          <w:sz w:val="28"/>
          <w:szCs w:val="28"/>
          <w:lang w:val="en-US"/>
        </w:rPr>
        <w:t>Volsky</w:t>
      </w:r>
      <w:proofErr w:type="spellEnd"/>
      <w:r w:rsidRPr="00564851">
        <w:rPr>
          <w:rFonts w:ascii="Times New Roman" w:hAnsi="Times New Roman" w:cs="Times New Roman"/>
          <w:sz w:val="28"/>
          <w:szCs w:val="28"/>
          <w:lang w:val="en-US"/>
        </w:rPr>
        <w:t xml:space="preserve">, A. Innovative factor for sustainable economic development / A. </w:t>
      </w:r>
      <w:proofErr w:type="spellStart"/>
      <w:r w:rsidRPr="00564851">
        <w:rPr>
          <w:rFonts w:ascii="Times New Roman" w:hAnsi="Times New Roman" w:cs="Times New Roman"/>
          <w:sz w:val="28"/>
          <w:szCs w:val="28"/>
          <w:lang w:val="en-US"/>
        </w:rPr>
        <w:t>Volsky</w:t>
      </w:r>
      <w:proofErr w:type="spellEnd"/>
      <w:r w:rsidRPr="00564851">
        <w:rPr>
          <w:rFonts w:ascii="Times New Roman" w:hAnsi="Times New Roman" w:cs="Times New Roman"/>
          <w:sz w:val="28"/>
          <w:szCs w:val="28"/>
          <w:lang w:val="en-US"/>
        </w:rPr>
        <w:t xml:space="preserve">. - M., 2014, №1. </w:t>
      </w:r>
      <w:proofErr w:type="gramStart"/>
      <w:r w:rsidRPr="00564851">
        <w:rPr>
          <w:rFonts w:ascii="Times New Roman" w:hAnsi="Times New Roman" w:cs="Times New Roman"/>
          <w:sz w:val="28"/>
          <w:szCs w:val="28"/>
          <w:lang w:val="en-US"/>
        </w:rPr>
        <w:t>p.4-12</w:t>
      </w:r>
      <w:proofErr w:type="gramEnd"/>
    </w:p>
    <w:p w:rsidR="00564851" w:rsidRPr="00564851" w:rsidRDefault="00564851" w:rsidP="00564851">
      <w:pPr>
        <w:spacing w:after="0" w:line="360" w:lineRule="auto"/>
        <w:ind w:firstLine="709"/>
        <w:jc w:val="both"/>
        <w:rPr>
          <w:rFonts w:ascii="Times New Roman" w:hAnsi="Times New Roman" w:cs="Times New Roman"/>
          <w:sz w:val="28"/>
          <w:szCs w:val="28"/>
          <w:lang w:val="en-US"/>
        </w:rPr>
      </w:pPr>
      <w:r w:rsidRPr="00564851">
        <w:rPr>
          <w:rFonts w:ascii="Times New Roman" w:hAnsi="Times New Roman" w:cs="Times New Roman"/>
          <w:sz w:val="28"/>
          <w:szCs w:val="28"/>
          <w:lang w:val="en-US"/>
        </w:rPr>
        <w:t>3</w:t>
      </w:r>
      <w:r w:rsidRPr="00564851">
        <w:rPr>
          <w:rFonts w:ascii="Times New Roman" w:hAnsi="Times New Roman" w:cs="Times New Roman"/>
          <w:sz w:val="28"/>
          <w:szCs w:val="28"/>
          <w:lang w:val="en-US"/>
        </w:rPr>
        <w:t xml:space="preserve">. </w:t>
      </w:r>
      <w:proofErr w:type="spellStart"/>
      <w:r w:rsidRPr="00564851">
        <w:rPr>
          <w:rFonts w:ascii="Times New Roman" w:hAnsi="Times New Roman" w:cs="Times New Roman"/>
          <w:sz w:val="28"/>
          <w:szCs w:val="28"/>
          <w:lang w:val="en-US"/>
        </w:rPr>
        <w:t>Voronetsky</w:t>
      </w:r>
      <w:proofErr w:type="spellEnd"/>
      <w:r w:rsidRPr="00564851">
        <w:rPr>
          <w:rFonts w:ascii="Times New Roman" w:hAnsi="Times New Roman" w:cs="Times New Roman"/>
          <w:sz w:val="28"/>
          <w:szCs w:val="28"/>
          <w:lang w:val="en-US"/>
        </w:rPr>
        <w:t xml:space="preserve">, L.I. Intellectual Property Management and Innovative Economy: Scientific and Innovation Policy in the Regions of Belarus: N 34 Materials of the Republican Scientific and Practical Conference (Grodno, October 19-20, 2014). - </w:t>
      </w:r>
      <w:proofErr w:type="spellStart"/>
      <w:proofErr w:type="gramStart"/>
      <w:r w:rsidRPr="00564851">
        <w:rPr>
          <w:rFonts w:ascii="Times New Roman" w:hAnsi="Times New Roman" w:cs="Times New Roman"/>
          <w:sz w:val="28"/>
          <w:szCs w:val="28"/>
          <w:lang w:val="en-US"/>
        </w:rPr>
        <w:t>Mn</w:t>
      </w:r>
      <w:proofErr w:type="spellEnd"/>
      <w:r w:rsidRPr="00564851">
        <w:rPr>
          <w:rFonts w:ascii="Times New Roman" w:hAnsi="Times New Roman" w:cs="Times New Roman"/>
          <w:sz w:val="28"/>
          <w:szCs w:val="28"/>
          <w:lang w:val="en-US"/>
        </w:rPr>
        <w:t xml:space="preserve"> .</w:t>
      </w:r>
      <w:proofErr w:type="gramEnd"/>
      <w:r w:rsidRPr="00564851">
        <w:rPr>
          <w:rFonts w:ascii="Times New Roman" w:hAnsi="Times New Roman" w:cs="Times New Roman"/>
          <w:sz w:val="28"/>
          <w:szCs w:val="28"/>
          <w:lang w:val="en-US"/>
        </w:rPr>
        <w:t>: State Enterprise "</w:t>
      </w:r>
      <w:proofErr w:type="spellStart"/>
      <w:r w:rsidRPr="00564851">
        <w:rPr>
          <w:rFonts w:ascii="Times New Roman" w:hAnsi="Times New Roman" w:cs="Times New Roman"/>
          <w:sz w:val="28"/>
          <w:szCs w:val="28"/>
          <w:lang w:val="en-US"/>
        </w:rPr>
        <w:t>BelISA</w:t>
      </w:r>
      <w:proofErr w:type="spellEnd"/>
      <w:r w:rsidRPr="00564851">
        <w:rPr>
          <w:rFonts w:ascii="Times New Roman" w:hAnsi="Times New Roman" w:cs="Times New Roman"/>
          <w:sz w:val="28"/>
          <w:szCs w:val="28"/>
          <w:lang w:val="en-US"/>
        </w:rPr>
        <w:t>", 2014.- 100s.</w:t>
      </w:r>
    </w:p>
    <w:p w:rsidR="00564851" w:rsidRPr="00564851" w:rsidRDefault="00564851" w:rsidP="00564851">
      <w:pPr>
        <w:spacing w:after="0" w:line="360" w:lineRule="auto"/>
        <w:ind w:firstLine="709"/>
        <w:jc w:val="both"/>
        <w:rPr>
          <w:rFonts w:ascii="Times New Roman" w:hAnsi="Times New Roman" w:cs="Times New Roman"/>
          <w:sz w:val="28"/>
          <w:szCs w:val="28"/>
          <w:lang w:val="en-US"/>
        </w:rPr>
      </w:pPr>
      <w:r w:rsidRPr="00564851">
        <w:rPr>
          <w:rFonts w:ascii="Times New Roman" w:hAnsi="Times New Roman" w:cs="Times New Roman"/>
          <w:sz w:val="28"/>
          <w:szCs w:val="28"/>
          <w:lang w:val="en-US"/>
        </w:rPr>
        <w:t>4</w:t>
      </w:r>
      <w:r w:rsidRPr="00564851">
        <w:rPr>
          <w:rFonts w:ascii="Times New Roman" w:hAnsi="Times New Roman" w:cs="Times New Roman"/>
          <w:sz w:val="28"/>
          <w:szCs w:val="28"/>
          <w:lang w:val="en-US"/>
        </w:rPr>
        <w:t xml:space="preserve">. </w:t>
      </w:r>
      <w:proofErr w:type="spellStart"/>
      <w:r w:rsidRPr="00564851">
        <w:rPr>
          <w:rFonts w:ascii="Times New Roman" w:hAnsi="Times New Roman" w:cs="Times New Roman"/>
          <w:sz w:val="28"/>
          <w:szCs w:val="28"/>
          <w:lang w:val="en-US"/>
        </w:rPr>
        <w:t>Goncharov</w:t>
      </w:r>
      <w:proofErr w:type="spellEnd"/>
      <w:r w:rsidRPr="00564851">
        <w:rPr>
          <w:rFonts w:ascii="Times New Roman" w:hAnsi="Times New Roman" w:cs="Times New Roman"/>
          <w:sz w:val="28"/>
          <w:szCs w:val="28"/>
          <w:lang w:val="en-US"/>
        </w:rPr>
        <w:t xml:space="preserve">, V. I. Management of the enterprise. </w:t>
      </w:r>
      <w:proofErr w:type="gramStart"/>
      <w:r w:rsidRPr="00564851">
        <w:rPr>
          <w:rFonts w:ascii="Times New Roman" w:hAnsi="Times New Roman" w:cs="Times New Roman"/>
          <w:sz w:val="28"/>
          <w:szCs w:val="28"/>
          <w:lang w:val="en-US"/>
        </w:rPr>
        <w:t>in</w:t>
      </w:r>
      <w:proofErr w:type="gramEnd"/>
      <w:r w:rsidRPr="00564851">
        <w:rPr>
          <w:rFonts w:ascii="Times New Roman" w:hAnsi="Times New Roman" w:cs="Times New Roman"/>
          <w:sz w:val="28"/>
          <w:szCs w:val="28"/>
          <w:lang w:val="en-US"/>
        </w:rPr>
        <w:t xml:space="preserve"> 2 hours / V.I. </w:t>
      </w:r>
      <w:proofErr w:type="spellStart"/>
      <w:r w:rsidRPr="00564851">
        <w:rPr>
          <w:rFonts w:ascii="Times New Roman" w:hAnsi="Times New Roman" w:cs="Times New Roman"/>
          <w:sz w:val="28"/>
          <w:szCs w:val="28"/>
          <w:lang w:val="en-US"/>
        </w:rPr>
        <w:t>Goncharov</w:t>
      </w:r>
      <w:proofErr w:type="spellEnd"/>
      <w:r w:rsidRPr="00564851">
        <w:rPr>
          <w:rFonts w:ascii="Times New Roman" w:hAnsi="Times New Roman" w:cs="Times New Roman"/>
          <w:sz w:val="28"/>
          <w:szCs w:val="28"/>
          <w:lang w:val="en-US"/>
        </w:rPr>
        <w:t>. - Part 1. - Minsk: Publishing house of the Ministry of Education, 2015. - 244 p.</w:t>
      </w:r>
    </w:p>
    <w:p w:rsidR="00564851" w:rsidRPr="00564851" w:rsidRDefault="00564851" w:rsidP="00564851">
      <w:pPr>
        <w:spacing w:after="0" w:line="360" w:lineRule="auto"/>
        <w:ind w:firstLine="709"/>
        <w:jc w:val="both"/>
        <w:rPr>
          <w:rFonts w:ascii="Times New Roman" w:hAnsi="Times New Roman" w:cs="Times New Roman"/>
          <w:sz w:val="28"/>
          <w:szCs w:val="28"/>
          <w:lang w:val="en-US"/>
        </w:rPr>
      </w:pPr>
      <w:r w:rsidRPr="00564851">
        <w:rPr>
          <w:rFonts w:ascii="Times New Roman" w:hAnsi="Times New Roman" w:cs="Times New Roman"/>
          <w:sz w:val="28"/>
          <w:szCs w:val="28"/>
          <w:lang w:val="en-US"/>
        </w:rPr>
        <w:lastRenderedPageBreak/>
        <w:t>5</w:t>
      </w:r>
      <w:r w:rsidRPr="00564851">
        <w:rPr>
          <w:rFonts w:ascii="Times New Roman" w:hAnsi="Times New Roman" w:cs="Times New Roman"/>
          <w:sz w:val="28"/>
          <w:szCs w:val="28"/>
          <w:lang w:val="en-US"/>
        </w:rPr>
        <w:t xml:space="preserve">. </w:t>
      </w:r>
      <w:proofErr w:type="spellStart"/>
      <w:r w:rsidRPr="00564851">
        <w:rPr>
          <w:rFonts w:ascii="Times New Roman" w:hAnsi="Times New Roman" w:cs="Times New Roman"/>
          <w:sz w:val="28"/>
          <w:szCs w:val="28"/>
          <w:lang w:val="en-US"/>
        </w:rPr>
        <w:t>Goncharov</w:t>
      </w:r>
      <w:proofErr w:type="spellEnd"/>
      <w:r w:rsidRPr="00564851">
        <w:rPr>
          <w:rFonts w:ascii="Times New Roman" w:hAnsi="Times New Roman" w:cs="Times New Roman"/>
          <w:sz w:val="28"/>
          <w:szCs w:val="28"/>
          <w:lang w:val="en-US"/>
        </w:rPr>
        <w:t xml:space="preserve">, V.I. Management: Studies. </w:t>
      </w:r>
      <w:proofErr w:type="gramStart"/>
      <w:r w:rsidRPr="00564851">
        <w:rPr>
          <w:rFonts w:ascii="Times New Roman" w:hAnsi="Times New Roman" w:cs="Times New Roman"/>
          <w:sz w:val="28"/>
          <w:szCs w:val="28"/>
          <w:lang w:val="en-US"/>
        </w:rPr>
        <w:t>allowance</w:t>
      </w:r>
      <w:proofErr w:type="gramEnd"/>
      <w:r w:rsidRPr="00564851">
        <w:rPr>
          <w:rFonts w:ascii="Times New Roman" w:hAnsi="Times New Roman" w:cs="Times New Roman"/>
          <w:sz w:val="28"/>
          <w:szCs w:val="28"/>
          <w:lang w:val="en-US"/>
        </w:rPr>
        <w:t xml:space="preserve"> / </w:t>
      </w:r>
      <w:r w:rsidRPr="00564851">
        <w:rPr>
          <w:rFonts w:ascii="Times New Roman" w:hAnsi="Times New Roman" w:cs="Times New Roman"/>
          <w:sz w:val="28"/>
          <w:szCs w:val="28"/>
        </w:rPr>
        <w:t>В</w:t>
      </w:r>
      <w:r w:rsidRPr="00564851">
        <w:rPr>
          <w:rFonts w:ascii="Times New Roman" w:hAnsi="Times New Roman" w:cs="Times New Roman"/>
          <w:sz w:val="28"/>
          <w:szCs w:val="28"/>
          <w:lang w:val="en-US"/>
        </w:rPr>
        <w:t>.</w:t>
      </w:r>
      <w:r w:rsidRPr="00564851">
        <w:rPr>
          <w:rFonts w:ascii="Times New Roman" w:hAnsi="Times New Roman" w:cs="Times New Roman"/>
          <w:sz w:val="28"/>
          <w:szCs w:val="28"/>
        </w:rPr>
        <w:t>И</w:t>
      </w:r>
      <w:r w:rsidRPr="00564851">
        <w:rPr>
          <w:rFonts w:ascii="Times New Roman" w:hAnsi="Times New Roman" w:cs="Times New Roman"/>
          <w:sz w:val="28"/>
          <w:szCs w:val="28"/>
          <w:lang w:val="en-US"/>
        </w:rPr>
        <w:t xml:space="preserve">. </w:t>
      </w:r>
      <w:proofErr w:type="spellStart"/>
      <w:r w:rsidRPr="00564851">
        <w:rPr>
          <w:rFonts w:ascii="Times New Roman" w:hAnsi="Times New Roman" w:cs="Times New Roman"/>
          <w:sz w:val="28"/>
          <w:szCs w:val="28"/>
          <w:lang w:val="en-US"/>
        </w:rPr>
        <w:t>Goncharov</w:t>
      </w:r>
      <w:proofErr w:type="spellEnd"/>
      <w:r w:rsidRPr="00564851">
        <w:rPr>
          <w:rFonts w:ascii="Times New Roman" w:hAnsi="Times New Roman" w:cs="Times New Roman"/>
          <w:sz w:val="28"/>
          <w:szCs w:val="28"/>
          <w:lang w:val="en-US"/>
        </w:rPr>
        <w:t xml:space="preserve">. - Minsk: </w:t>
      </w:r>
      <w:proofErr w:type="spellStart"/>
      <w:r w:rsidRPr="00564851">
        <w:rPr>
          <w:rFonts w:ascii="Times New Roman" w:hAnsi="Times New Roman" w:cs="Times New Roman"/>
          <w:sz w:val="28"/>
          <w:szCs w:val="28"/>
          <w:lang w:val="en-US"/>
        </w:rPr>
        <w:t>Misanta</w:t>
      </w:r>
      <w:proofErr w:type="spellEnd"/>
      <w:r w:rsidRPr="00564851">
        <w:rPr>
          <w:rFonts w:ascii="Times New Roman" w:hAnsi="Times New Roman" w:cs="Times New Roman"/>
          <w:sz w:val="28"/>
          <w:szCs w:val="28"/>
          <w:lang w:val="en-US"/>
        </w:rPr>
        <w:t>, 2015. - 624 p.</w:t>
      </w:r>
    </w:p>
    <w:p w:rsidR="00564851" w:rsidRPr="00564851" w:rsidRDefault="00564851" w:rsidP="00564851">
      <w:pPr>
        <w:spacing w:after="0" w:line="360" w:lineRule="auto"/>
        <w:ind w:firstLine="709"/>
        <w:jc w:val="both"/>
        <w:rPr>
          <w:rFonts w:ascii="Times New Roman" w:hAnsi="Times New Roman" w:cs="Times New Roman"/>
          <w:sz w:val="28"/>
          <w:szCs w:val="28"/>
          <w:lang w:val="en-US"/>
        </w:rPr>
      </w:pPr>
      <w:r w:rsidRPr="00564851">
        <w:rPr>
          <w:rFonts w:ascii="Times New Roman" w:hAnsi="Times New Roman" w:cs="Times New Roman"/>
          <w:sz w:val="28"/>
          <w:szCs w:val="28"/>
          <w:lang w:val="en-US"/>
        </w:rPr>
        <w:t>6</w:t>
      </w:r>
      <w:r w:rsidRPr="00564851">
        <w:rPr>
          <w:rFonts w:ascii="Times New Roman" w:hAnsi="Times New Roman" w:cs="Times New Roman"/>
          <w:sz w:val="28"/>
          <w:szCs w:val="28"/>
          <w:lang w:val="en-US"/>
        </w:rPr>
        <w:t xml:space="preserve">. </w:t>
      </w:r>
      <w:proofErr w:type="spellStart"/>
      <w:r w:rsidRPr="00564851">
        <w:rPr>
          <w:rFonts w:ascii="Times New Roman" w:hAnsi="Times New Roman" w:cs="Times New Roman"/>
          <w:sz w:val="28"/>
          <w:szCs w:val="28"/>
          <w:lang w:val="en-US"/>
        </w:rPr>
        <w:t>Goremykin</w:t>
      </w:r>
      <w:proofErr w:type="spellEnd"/>
      <w:r w:rsidRPr="00564851">
        <w:rPr>
          <w:rFonts w:ascii="Times New Roman" w:hAnsi="Times New Roman" w:cs="Times New Roman"/>
          <w:sz w:val="28"/>
          <w:szCs w:val="28"/>
          <w:lang w:val="en-US"/>
        </w:rPr>
        <w:t xml:space="preserve">, V.A. Planning in the enterprise: Textbook. </w:t>
      </w:r>
      <w:proofErr w:type="gramStart"/>
      <w:r w:rsidRPr="00564851">
        <w:rPr>
          <w:rFonts w:ascii="Times New Roman" w:hAnsi="Times New Roman" w:cs="Times New Roman"/>
          <w:sz w:val="28"/>
          <w:szCs w:val="28"/>
          <w:lang w:val="en-US"/>
        </w:rPr>
        <w:t>allowance</w:t>
      </w:r>
      <w:proofErr w:type="gramEnd"/>
      <w:r w:rsidRPr="00564851">
        <w:rPr>
          <w:rFonts w:ascii="Times New Roman" w:hAnsi="Times New Roman" w:cs="Times New Roman"/>
          <w:sz w:val="28"/>
          <w:szCs w:val="28"/>
          <w:lang w:val="en-US"/>
        </w:rPr>
        <w:t xml:space="preserve"> / </w:t>
      </w:r>
      <w:r w:rsidRPr="00564851">
        <w:rPr>
          <w:rFonts w:ascii="Times New Roman" w:hAnsi="Times New Roman" w:cs="Times New Roman"/>
          <w:sz w:val="28"/>
          <w:szCs w:val="28"/>
        </w:rPr>
        <w:t>В</w:t>
      </w:r>
      <w:r w:rsidRPr="00564851">
        <w:rPr>
          <w:rFonts w:ascii="Times New Roman" w:hAnsi="Times New Roman" w:cs="Times New Roman"/>
          <w:sz w:val="28"/>
          <w:szCs w:val="28"/>
          <w:lang w:val="en-US"/>
        </w:rPr>
        <w:t>.</w:t>
      </w:r>
      <w:r w:rsidRPr="00564851">
        <w:rPr>
          <w:rFonts w:ascii="Times New Roman" w:hAnsi="Times New Roman" w:cs="Times New Roman"/>
          <w:sz w:val="28"/>
          <w:szCs w:val="28"/>
        </w:rPr>
        <w:t>А</w:t>
      </w:r>
      <w:r w:rsidRPr="00564851">
        <w:rPr>
          <w:rFonts w:ascii="Times New Roman" w:hAnsi="Times New Roman" w:cs="Times New Roman"/>
          <w:sz w:val="28"/>
          <w:szCs w:val="28"/>
          <w:lang w:val="en-US"/>
        </w:rPr>
        <w:t xml:space="preserve">. </w:t>
      </w:r>
      <w:proofErr w:type="spellStart"/>
      <w:r w:rsidRPr="00564851">
        <w:rPr>
          <w:rFonts w:ascii="Times New Roman" w:hAnsi="Times New Roman" w:cs="Times New Roman"/>
          <w:sz w:val="28"/>
          <w:szCs w:val="28"/>
          <w:lang w:val="en-US"/>
        </w:rPr>
        <w:t>Goremykin</w:t>
      </w:r>
      <w:proofErr w:type="spellEnd"/>
      <w:r w:rsidRPr="00564851">
        <w:rPr>
          <w:rFonts w:ascii="Times New Roman" w:hAnsi="Times New Roman" w:cs="Times New Roman"/>
          <w:sz w:val="28"/>
          <w:szCs w:val="28"/>
          <w:lang w:val="en-US"/>
        </w:rPr>
        <w:t xml:space="preserve">. - </w:t>
      </w:r>
      <w:proofErr w:type="gramStart"/>
      <w:r w:rsidRPr="00564851">
        <w:rPr>
          <w:rFonts w:ascii="Times New Roman" w:hAnsi="Times New Roman" w:cs="Times New Roman"/>
          <w:sz w:val="28"/>
          <w:szCs w:val="28"/>
          <w:lang w:val="en-US"/>
        </w:rPr>
        <w:t>M .</w:t>
      </w:r>
      <w:proofErr w:type="gramEnd"/>
      <w:r w:rsidRPr="00564851">
        <w:rPr>
          <w:rFonts w:ascii="Times New Roman" w:hAnsi="Times New Roman" w:cs="Times New Roman"/>
          <w:sz w:val="28"/>
          <w:szCs w:val="28"/>
          <w:lang w:val="en-US"/>
        </w:rPr>
        <w:t xml:space="preserve">: </w:t>
      </w:r>
      <w:proofErr w:type="spellStart"/>
      <w:r w:rsidRPr="00564851">
        <w:rPr>
          <w:rFonts w:ascii="Times New Roman" w:hAnsi="Times New Roman" w:cs="Times New Roman"/>
          <w:sz w:val="28"/>
          <w:szCs w:val="28"/>
          <w:lang w:val="en-US"/>
        </w:rPr>
        <w:t>Yurayt</w:t>
      </w:r>
      <w:proofErr w:type="spellEnd"/>
      <w:r w:rsidRPr="00564851">
        <w:rPr>
          <w:rFonts w:ascii="Times New Roman" w:hAnsi="Times New Roman" w:cs="Times New Roman"/>
          <w:sz w:val="28"/>
          <w:szCs w:val="28"/>
          <w:lang w:val="en-US"/>
        </w:rPr>
        <w:t>, 2012. - 704 p.</w:t>
      </w:r>
    </w:p>
    <w:p w:rsidR="00564851" w:rsidRPr="00564851" w:rsidRDefault="00564851" w:rsidP="00564851">
      <w:pPr>
        <w:spacing w:after="0" w:line="360" w:lineRule="auto"/>
        <w:ind w:firstLine="709"/>
        <w:jc w:val="both"/>
        <w:rPr>
          <w:rFonts w:ascii="Times New Roman" w:hAnsi="Times New Roman" w:cs="Times New Roman"/>
          <w:sz w:val="28"/>
          <w:szCs w:val="28"/>
          <w:lang w:val="en-US"/>
        </w:rPr>
      </w:pPr>
      <w:r w:rsidRPr="00564851">
        <w:rPr>
          <w:rFonts w:ascii="Times New Roman" w:hAnsi="Times New Roman" w:cs="Times New Roman"/>
          <w:sz w:val="28"/>
          <w:szCs w:val="28"/>
          <w:lang w:val="en-US"/>
        </w:rPr>
        <w:t>7</w:t>
      </w:r>
      <w:r w:rsidRPr="00564851">
        <w:rPr>
          <w:rFonts w:ascii="Times New Roman" w:hAnsi="Times New Roman" w:cs="Times New Roman"/>
          <w:sz w:val="28"/>
          <w:szCs w:val="28"/>
          <w:lang w:val="en-US"/>
        </w:rPr>
        <w:t xml:space="preserve">. </w:t>
      </w:r>
      <w:proofErr w:type="spellStart"/>
      <w:r w:rsidRPr="00564851">
        <w:rPr>
          <w:rFonts w:ascii="Times New Roman" w:hAnsi="Times New Roman" w:cs="Times New Roman"/>
          <w:sz w:val="28"/>
          <w:szCs w:val="28"/>
          <w:lang w:val="en-US"/>
        </w:rPr>
        <w:t>Dagaev</w:t>
      </w:r>
      <w:proofErr w:type="spellEnd"/>
      <w:r w:rsidRPr="00564851">
        <w:rPr>
          <w:rFonts w:ascii="Times New Roman" w:hAnsi="Times New Roman" w:cs="Times New Roman"/>
          <w:sz w:val="28"/>
          <w:szCs w:val="28"/>
          <w:lang w:val="en-US"/>
        </w:rPr>
        <w:t xml:space="preserve">, A. Levers of Innovative Growth / A. </w:t>
      </w:r>
      <w:proofErr w:type="spellStart"/>
      <w:r w:rsidRPr="00564851">
        <w:rPr>
          <w:rFonts w:ascii="Times New Roman" w:hAnsi="Times New Roman" w:cs="Times New Roman"/>
          <w:sz w:val="28"/>
          <w:szCs w:val="28"/>
          <w:lang w:val="en-US"/>
        </w:rPr>
        <w:t>Dagaev</w:t>
      </w:r>
      <w:proofErr w:type="spellEnd"/>
      <w:r w:rsidRPr="00564851">
        <w:rPr>
          <w:rFonts w:ascii="Times New Roman" w:hAnsi="Times New Roman" w:cs="Times New Roman"/>
          <w:sz w:val="28"/>
          <w:szCs w:val="28"/>
          <w:lang w:val="en-US"/>
        </w:rPr>
        <w:t xml:space="preserve"> // Problems of Management Theory and Practice. - M., No. 5, 2015. </w:t>
      </w:r>
      <w:proofErr w:type="gramStart"/>
      <w:r w:rsidRPr="00564851">
        <w:rPr>
          <w:rFonts w:ascii="Times New Roman" w:hAnsi="Times New Roman" w:cs="Times New Roman"/>
          <w:sz w:val="28"/>
          <w:szCs w:val="28"/>
          <w:lang w:val="en-US"/>
        </w:rPr>
        <w:t>p. 55.</w:t>
      </w:r>
      <w:proofErr w:type="gramEnd"/>
    </w:p>
    <w:p w:rsidR="00564851" w:rsidRPr="00564851" w:rsidRDefault="00564851" w:rsidP="00564851">
      <w:pPr>
        <w:spacing w:after="0" w:line="360" w:lineRule="auto"/>
        <w:ind w:firstLine="709"/>
        <w:jc w:val="both"/>
        <w:rPr>
          <w:rFonts w:ascii="Times New Roman" w:hAnsi="Times New Roman" w:cs="Times New Roman"/>
          <w:sz w:val="28"/>
          <w:szCs w:val="28"/>
          <w:lang w:val="en-US"/>
        </w:rPr>
      </w:pPr>
      <w:r w:rsidRPr="00564851">
        <w:rPr>
          <w:rFonts w:ascii="Times New Roman" w:hAnsi="Times New Roman" w:cs="Times New Roman"/>
          <w:sz w:val="28"/>
          <w:szCs w:val="28"/>
          <w:lang w:val="en-US"/>
        </w:rPr>
        <w:t>8</w:t>
      </w:r>
      <w:r w:rsidRPr="00564851">
        <w:rPr>
          <w:rFonts w:ascii="Times New Roman" w:hAnsi="Times New Roman" w:cs="Times New Roman"/>
          <w:sz w:val="28"/>
          <w:szCs w:val="28"/>
          <w:lang w:val="en-US"/>
        </w:rPr>
        <w:t xml:space="preserve">. Innovation as a factor of economic growth / P.G. </w:t>
      </w:r>
      <w:proofErr w:type="spellStart"/>
      <w:r w:rsidRPr="00564851">
        <w:rPr>
          <w:rFonts w:ascii="Times New Roman" w:hAnsi="Times New Roman" w:cs="Times New Roman"/>
          <w:sz w:val="28"/>
          <w:szCs w:val="28"/>
          <w:lang w:val="en-US"/>
        </w:rPr>
        <w:t>Nikitenko</w:t>
      </w:r>
      <w:proofErr w:type="spellEnd"/>
      <w:r w:rsidRPr="00564851">
        <w:rPr>
          <w:rFonts w:ascii="Times New Roman" w:hAnsi="Times New Roman" w:cs="Times New Roman"/>
          <w:sz w:val="28"/>
          <w:szCs w:val="28"/>
          <w:lang w:val="en-US"/>
        </w:rPr>
        <w:t xml:space="preserve">, A.V. Markov, I.I. </w:t>
      </w:r>
      <w:proofErr w:type="spellStart"/>
      <w:r w:rsidRPr="00564851">
        <w:rPr>
          <w:rFonts w:ascii="Times New Roman" w:hAnsi="Times New Roman" w:cs="Times New Roman"/>
          <w:sz w:val="28"/>
          <w:szCs w:val="28"/>
          <w:lang w:val="en-US"/>
        </w:rPr>
        <w:t>Serginsky</w:t>
      </w:r>
      <w:proofErr w:type="spellEnd"/>
      <w:r w:rsidRPr="00564851">
        <w:rPr>
          <w:rFonts w:ascii="Times New Roman" w:hAnsi="Times New Roman" w:cs="Times New Roman"/>
          <w:sz w:val="28"/>
          <w:szCs w:val="28"/>
          <w:lang w:val="en-US"/>
        </w:rPr>
        <w:t xml:space="preserve">, V.A. </w:t>
      </w:r>
      <w:proofErr w:type="spellStart"/>
      <w:r w:rsidRPr="00564851">
        <w:rPr>
          <w:rFonts w:ascii="Times New Roman" w:hAnsi="Times New Roman" w:cs="Times New Roman"/>
          <w:sz w:val="28"/>
          <w:szCs w:val="28"/>
          <w:lang w:val="en-US"/>
        </w:rPr>
        <w:t>Kolotukhin</w:t>
      </w:r>
      <w:proofErr w:type="spellEnd"/>
      <w:r w:rsidRPr="00564851">
        <w:rPr>
          <w:rFonts w:ascii="Times New Roman" w:hAnsi="Times New Roman" w:cs="Times New Roman"/>
          <w:sz w:val="28"/>
          <w:szCs w:val="28"/>
          <w:lang w:val="en-US"/>
        </w:rPr>
        <w:t xml:space="preserve">; Ed. P.G. </w:t>
      </w:r>
      <w:proofErr w:type="spellStart"/>
      <w:r w:rsidRPr="00564851">
        <w:rPr>
          <w:rFonts w:ascii="Times New Roman" w:hAnsi="Times New Roman" w:cs="Times New Roman"/>
          <w:sz w:val="28"/>
          <w:szCs w:val="28"/>
          <w:lang w:val="en-US"/>
        </w:rPr>
        <w:t>Nikitenko</w:t>
      </w:r>
      <w:proofErr w:type="spellEnd"/>
      <w:r w:rsidRPr="00564851">
        <w:rPr>
          <w:rFonts w:ascii="Times New Roman" w:hAnsi="Times New Roman" w:cs="Times New Roman"/>
          <w:sz w:val="28"/>
          <w:szCs w:val="28"/>
          <w:lang w:val="en-US"/>
        </w:rPr>
        <w:t>. - Minsk: BIL-S, LLC, 2014. - 85 p.</w:t>
      </w:r>
    </w:p>
    <w:p w:rsidR="00564851" w:rsidRPr="00564851" w:rsidRDefault="00564851" w:rsidP="00564851">
      <w:pPr>
        <w:spacing w:after="0" w:line="360" w:lineRule="auto"/>
        <w:ind w:firstLine="709"/>
        <w:jc w:val="both"/>
        <w:rPr>
          <w:rFonts w:ascii="Times New Roman" w:hAnsi="Times New Roman" w:cs="Times New Roman"/>
          <w:sz w:val="28"/>
          <w:szCs w:val="28"/>
          <w:lang w:val="en-US"/>
        </w:rPr>
      </w:pPr>
      <w:r w:rsidRPr="00564851">
        <w:rPr>
          <w:rFonts w:ascii="Times New Roman" w:hAnsi="Times New Roman" w:cs="Times New Roman"/>
          <w:sz w:val="28"/>
          <w:szCs w:val="28"/>
          <w:lang w:val="en-US"/>
        </w:rPr>
        <w:t>9</w:t>
      </w:r>
      <w:r w:rsidRPr="00564851">
        <w:rPr>
          <w:rFonts w:ascii="Times New Roman" w:hAnsi="Times New Roman" w:cs="Times New Roman"/>
          <w:sz w:val="28"/>
          <w:szCs w:val="28"/>
          <w:lang w:val="en-US"/>
        </w:rPr>
        <w:t xml:space="preserve">. Innovative economy. - Moscow: </w:t>
      </w:r>
      <w:proofErr w:type="spellStart"/>
      <w:r w:rsidRPr="00564851">
        <w:rPr>
          <w:rFonts w:ascii="Times New Roman" w:hAnsi="Times New Roman" w:cs="Times New Roman"/>
          <w:sz w:val="28"/>
          <w:szCs w:val="28"/>
          <w:lang w:val="en-US"/>
        </w:rPr>
        <w:t>Nauka</w:t>
      </w:r>
      <w:proofErr w:type="spellEnd"/>
      <w:r w:rsidRPr="00564851">
        <w:rPr>
          <w:rFonts w:ascii="Times New Roman" w:hAnsi="Times New Roman" w:cs="Times New Roman"/>
          <w:sz w:val="28"/>
          <w:szCs w:val="28"/>
          <w:lang w:val="en-US"/>
        </w:rPr>
        <w:t>, 2016. - 294 p.</w:t>
      </w:r>
    </w:p>
    <w:p w:rsidR="00564851" w:rsidRPr="00564851" w:rsidRDefault="00564851" w:rsidP="00564851">
      <w:pPr>
        <w:spacing w:after="0" w:line="360" w:lineRule="auto"/>
        <w:ind w:firstLine="709"/>
        <w:jc w:val="both"/>
        <w:rPr>
          <w:rFonts w:ascii="Times New Roman" w:hAnsi="Times New Roman" w:cs="Times New Roman"/>
          <w:sz w:val="28"/>
          <w:szCs w:val="28"/>
          <w:lang w:val="en-US"/>
        </w:rPr>
      </w:pPr>
      <w:r w:rsidRPr="00564851">
        <w:rPr>
          <w:rFonts w:ascii="Times New Roman" w:hAnsi="Times New Roman" w:cs="Times New Roman"/>
          <w:sz w:val="28"/>
          <w:szCs w:val="28"/>
          <w:lang w:val="en-US"/>
        </w:rPr>
        <w:t>10</w:t>
      </w:r>
      <w:r w:rsidRPr="00564851">
        <w:rPr>
          <w:rFonts w:ascii="Times New Roman" w:hAnsi="Times New Roman" w:cs="Times New Roman"/>
          <w:sz w:val="28"/>
          <w:szCs w:val="28"/>
          <w:lang w:val="en-US"/>
        </w:rPr>
        <w:t xml:space="preserve">. </w:t>
      </w:r>
      <w:proofErr w:type="spellStart"/>
      <w:r w:rsidRPr="00564851">
        <w:rPr>
          <w:rFonts w:ascii="Times New Roman" w:hAnsi="Times New Roman" w:cs="Times New Roman"/>
          <w:sz w:val="28"/>
          <w:szCs w:val="28"/>
          <w:lang w:val="en-US"/>
        </w:rPr>
        <w:t>Medynsky</w:t>
      </w:r>
      <w:proofErr w:type="spellEnd"/>
      <w:r w:rsidRPr="00564851">
        <w:rPr>
          <w:rFonts w:ascii="Times New Roman" w:hAnsi="Times New Roman" w:cs="Times New Roman"/>
          <w:sz w:val="28"/>
          <w:szCs w:val="28"/>
          <w:lang w:val="en-US"/>
        </w:rPr>
        <w:t xml:space="preserve">, V.G. Innovative management / V.G. </w:t>
      </w:r>
      <w:proofErr w:type="spellStart"/>
      <w:r w:rsidRPr="00564851">
        <w:rPr>
          <w:rFonts w:ascii="Times New Roman" w:hAnsi="Times New Roman" w:cs="Times New Roman"/>
          <w:sz w:val="28"/>
          <w:szCs w:val="28"/>
          <w:lang w:val="en-US"/>
        </w:rPr>
        <w:t>Medynskyi</w:t>
      </w:r>
      <w:proofErr w:type="spellEnd"/>
      <w:r w:rsidRPr="00564851">
        <w:rPr>
          <w:rFonts w:ascii="Times New Roman" w:hAnsi="Times New Roman" w:cs="Times New Roman"/>
          <w:sz w:val="28"/>
          <w:szCs w:val="28"/>
          <w:lang w:val="en-US"/>
        </w:rPr>
        <w:t>. - Moscow: INFRA-M, 2013. - 288 p.</w:t>
      </w:r>
    </w:p>
    <w:p w:rsidR="00564851" w:rsidRPr="00564851" w:rsidRDefault="00564851" w:rsidP="00564851">
      <w:pPr>
        <w:spacing w:after="0" w:line="360" w:lineRule="auto"/>
        <w:ind w:firstLine="709"/>
        <w:jc w:val="both"/>
        <w:rPr>
          <w:rFonts w:ascii="Times New Roman" w:hAnsi="Times New Roman" w:cs="Times New Roman"/>
          <w:sz w:val="28"/>
          <w:szCs w:val="28"/>
          <w:lang w:val="en-US"/>
        </w:rPr>
      </w:pPr>
      <w:r w:rsidRPr="00564851">
        <w:rPr>
          <w:rFonts w:ascii="Times New Roman" w:hAnsi="Times New Roman" w:cs="Times New Roman"/>
          <w:sz w:val="28"/>
          <w:szCs w:val="28"/>
          <w:lang w:val="en-US"/>
        </w:rPr>
        <w:t>11</w:t>
      </w:r>
      <w:r w:rsidRPr="00564851">
        <w:rPr>
          <w:rFonts w:ascii="Times New Roman" w:hAnsi="Times New Roman" w:cs="Times New Roman"/>
          <w:sz w:val="28"/>
          <w:szCs w:val="28"/>
          <w:lang w:val="en-US"/>
        </w:rPr>
        <w:t xml:space="preserve">. </w:t>
      </w:r>
      <w:proofErr w:type="spellStart"/>
      <w:r w:rsidRPr="00564851">
        <w:rPr>
          <w:rFonts w:ascii="Times New Roman" w:hAnsi="Times New Roman" w:cs="Times New Roman"/>
          <w:sz w:val="28"/>
          <w:szCs w:val="28"/>
          <w:lang w:val="en-US"/>
        </w:rPr>
        <w:t>Nekhorosheva</w:t>
      </w:r>
      <w:proofErr w:type="spellEnd"/>
      <w:r w:rsidRPr="00564851">
        <w:rPr>
          <w:rFonts w:ascii="Times New Roman" w:hAnsi="Times New Roman" w:cs="Times New Roman"/>
          <w:sz w:val="28"/>
          <w:szCs w:val="28"/>
          <w:lang w:val="en-US"/>
        </w:rPr>
        <w:t xml:space="preserve">, L.N. Innovative component of sustainable development / L.N. </w:t>
      </w:r>
      <w:proofErr w:type="spellStart"/>
      <w:r w:rsidRPr="00564851">
        <w:rPr>
          <w:rFonts w:ascii="Times New Roman" w:hAnsi="Times New Roman" w:cs="Times New Roman"/>
          <w:sz w:val="28"/>
          <w:szCs w:val="28"/>
          <w:lang w:val="en-US"/>
        </w:rPr>
        <w:t>Nekhorosheva</w:t>
      </w:r>
      <w:proofErr w:type="spellEnd"/>
      <w:r w:rsidRPr="00564851">
        <w:rPr>
          <w:rFonts w:ascii="Times New Roman" w:hAnsi="Times New Roman" w:cs="Times New Roman"/>
          <w:sz w:val="28"/>
          <w:szCs w:val="28"/>
          <w:lang w:val="en-US"/>
        </w:rPr>
        <w:t xml:space="preserve"> // Sustainable development: problems and perspectives: materials of the international. </w:t>
      </w:r>
      <w:proofErr w:type="gramStart"/>
      <w:r w:rsidRPr="00564851">
        <w:rPr>
          <w:rFonts w:ascii="Times New Roman" w:hAnsi="Times New Roman" w:cs="Times New Roman"/>
          <w:sz w:val="28"/>
          <w:szCs w:val="28"/>
          <w:lang w:val="en-US"/>
        </w:rPr>
        <w:t xml:space="preserve">sci. - </w:t>
      </w:r>
      <w:proofErr w:type="spellStart"/>
      <w:r w:rsidRPr="00564851">
        <w:rPr>
          <w:rFonts w:ascii="Times New Roman" w:hAnsi="Times New Roman" w:cs="Times New Roman"/>
          <w:sz w:val="28"/>
          <w:szCs w:val="28"/>
          <w:lang w:val="en-US"/>
        </w:rPr>
        <w:t>Pract</w:t>
      </w:r>
      <w:proofErr w:type="spellEnd"/>
      <w:r w:rsidRPr="00564851">
        <w:rPr>
          <w:rFonts w:ascii="Times New Roman" w:hAnsi="Times New Roman" w:cs="Times New Roman"/>
          <w:sz w:val="28"/>
          <w:szCs w:val="28"/>
          <w:lang w:val="en-US"/>
        </w:rPr>
        <w:t>.</w:t>
      </w:r>
      <w:proofErr w:type="gramEnd"/>
      <w:r w:rsidRPr="00564851">
        <w:rPr>
          <w:rFonts w:ascii="Times New Roman" w:hAnsi="Times New Roman" w:cs="Times New Roman"/>
          <w:sz w:val="28"/>
          <w:szCs w:val="28"/>
          <w:lang w:val="en-US"/>
        </w:rPr>
        <w:t xml:space="preserve"> Conf., Minsk, May 27-28, 2015. - Minsk, 2015.</w:t>
      </w:r>
    </w:p>
    <w:p w:rsidR="00564851" w:rsidRPr="00564851" w:rsidRDefault="00564851" w:rsidP="00564851">
      <w:pPr>
        <w:spacing w:after="0" w:line="360" w:lineRule="auto"/>
        <w:ind w:firstLine="709"/>
        <w:jc w:val="both"/>
        <w:rPr>
          <w:rFonts w:ascii="Times New Roman" w:hAnsi="Times New Roman" w:cs="Times New Roman"/>
          <w:sz w:val="28"/>
          <w:szCs w:val="28"/>
          <w:lang w:val="en-US"/>
        </w:rPr>
      </w:pPr>
      <w:r w:rsidRPr="00564851">
        <w:rPr>
          <w:rFonts w:ascii="Times New Roman" w:hAnsi="Times New Roman" w:cs="Times New Roman"/>
          <w:sz w:val="28"/>
          <w:szCs w:val="28"/>
          <w:lang w:val="en-US"/>
        </w:rPr>
        <w:t>1</w:t>
      </w:r>
      <w:r w:rsidRPr="00564851">
        <w:rPr>
          <w:rFonts w:ascii="Times New Roman" w:hAnsi="Times New Roman" w:cs="Times New Roman"/>
          <w:sz w:val="28"/>
          <w:szCs w:val="28"/>
          <w:lang w:val="en-US"/>
        </w:rPr>
        <w:t>2</w:t>
      </w:r>
      <w:proofErr w:type="gramStart"/>
      <w:r w:rsidRPr="00564851">
        <w:rPr>
          <w:rFonts w:ascii="Times New Roman" w:hAnsi="Times New Roman" w:cs="Times New Roman"/>
          <w:sz w:val="28"/>
          <w:szCs w:val="28"/>
          <w:lang w:val="en-US"/>
        </w:rPr>
        <w:t>.Reymer</w:t>
      </w:r>
      <w:proofErr w:type="gramEnd"/>
      <w:r w:rsidRPr="00564851">
        <w:rPr>
          <w:rFonts w:ascii="Times New Roman" w:hAnsi="Times New Roman" w:cs="Times New Roman"/>
          <w:sz w:val="28"/>
          <w:szCs w:val="28"/>
          <w:lang w:val="en-US"/>
        </w:rPr>
        <w:t xml:space="preserve">, V. The Innovative System of Russia: Problems of Management and Prospects / V. Reimer, A. </w:t>
      </w:r>
      <w:proofErr w:type="spellStart"/>
      <w:r w:rsidRPr="00564851">
        <w:rPr>
          <w:rFonts w:ascii="Times New Roman" w:hAnsi="Times New Roman" w:cs="Times New Roman"/>
          <w:sz w:val="28"/>
          <w:szCs w:val="28"/>
          <w:lang w:val="en-US"/>
        </w:rPr>
        <w:t>Breusov</w:t>
      </w:r>
      <w:proofErr w:type="spellEnd"/>
      <w:r w:rsidRPr="00564851">
        <w:rPr>
          <w:rFonts w:ascii="Times New Roman" w:hAnsi="Times New Roman" w:cs="Times New Roman"/>
          <w:sz w:val="28"/>
          <w:szCs w:val="28"/>
          <w:lang w:val="en-US"/>
        </w:rPr>
        <w:t xml:space="preserve"> // International Agricultural Journal. - 2013. </w:t>
      </w:r>
      <w:proofErr w:type="gramStart"/>
      <w:r w:rsidRPr="00564851">
        <w:rPr>
          <w:rFonts w:ascii="Times New Roman" w:hAnsi="Times New Roman" w:cs="Times New Roman"/>
          <w:sz w:val="28"/>
          <w:szCs w:val="28"/>
          <w:lang w:val="en-US"/>
        </w:rPr>
        <w:t>- No. 2.</w:t>
      </w:r>
      <w:proofErr w:type="gramEnd"/>
      <w:r w:rsidRPr="00564851">
        <w:rPr>
          <w:rFonts w:ascii="Times New Roman" w:hAnsi="Times New Roman" w:cs="Times New Roman"/>
          <w:sz w:val="28"/>
          <w:szCs w:val="28"/>
          <w:lang w:val="en-US"/>
        </w:rPr>
        <w:t xml:space="preserve"> - P. 3-6.</w:t>
      </w:r>
    </w:p>
    <w:p w:rsidR="00564851" w:rsidRPr="00564851" w:rsidRDefault="00564851" w:rsidP="00564851">
      <w:pPr>
        <w:spacing w:after="0" w:line="360" w:lineRule="auto"/>
        <w:ind w:firstLine="709"/>
        <w:jc w:val="both"/>
        <w:rPr>
          <w:rFonts w:ascii="Times New Roman" w:hAnsi="Times New Roman" w:cs="Times New Roman"/>
          <w:sz w:val="28"/>
          <w:szCs w:val="28"/>
          <w:lang w:val="en-US"/>
        </w:rPr>
      </w:pPr>
      <w:r w:rsidRPr="00564851">
        <w:rPr>
          <w:rFonts w:ascii="Times New Roman" w:hAnsi="Times New Roman" w:cs="Times New Roman"/>
          <w:sz w:val="28"/>
          <w:szCs w:val="28"/>
          <w:lang w:val="en-US"/>
        </w:rPr>
        <w:t>13</w:t>
      </w:r>
      <w:proofErr w:type="gramStart"/>
      <w:r w:rsidRPr="00564851">
        <w:rPr>
          <w:rFonts w:ascii="Times New Roman" w:hAnsi="Times New Roman" w:cs="Times New Roman"/>
          <w:sz w:val="28"/>
          <w:szCs w:val="28"/>
          <w:lang w:val="en-US"/>
        </w:rPr>
        <w:t>.Nehorosheva</w:t>
      </w:r>
      <w:proofErr w:type="gramEnd"/>
      <w:r w:rsidRPr="00564851">
        <w:rPr>
          <w:rFonts w:ascii="Times New Roman" w:hAnsi="Times New Roman" w:cs="Times New Roman"/>
          <w:sz w:val="28"/>
          <w:szCs w:val="28"/>
          <w:lang w:val="en-US"/>
        </w:rPr>
        <w:t xml:space="preserve">, L.N. Innovative development in the conditions of the "new economy" / L.N. </w:t>
      </w:r>
      <w:proofErr w:type="spellStart"/>
      <w:r w:rsidRPr="00564851">
        <w:rPr>
          <w:rFonts w:ascii="Times New Roman" w:hAnsi="Times New Roman" w:cs="Times New Roman"/>
          <w:sz w:val="28"/>
          <w:szCs w:val="28"/>
          <w:lang w:val="en-US"/>
        </w:rPr>
        <w:t>Nekhorosheva</w:t>
      </w:r>
      <w:proofErr w:type="spellEnd"/>
      <w:r w:rsidRPr="00564851">
        <w:rPr>
          <w:rFonts w:ascii="Times New Roman" w:hAnsi="Times New Roman" w:cs="Times New Roman"/>
          <w:sz w:val="28"/>
          <w:szCs w:val="28"/>
          <w:lang w:val="en-US"/>
        </w:rPr>
        <w:t xml:space="preserve"> // Science and Innovations. -2013. - 3 (61). - P. 13-15.</w:t>
      </w:r>
    </w:p>
    <w:p w:rsidR="00564851" w:rsidRPr="00564851" w:rsidRDefault="00564851" w:rsidP="00564851">
      <w:pPr>
        <w:spacing w:after="0" w:line="360" w:lineRule="auto"/>
        <w:ind w:firstLine="709"/>
        <w:jc w:val="both"/>
        <w:rPr>
          <w:rFonts w:ascii="Times New Roman" w:hAnsi="Times New Roman" w:cs="Times New Roman"/>
          <w:sz w:val="28"/>
          <w:szCs w:val="28"/>
          <w:lang w:val="en-US"/>
        </w:rPr>
      </w:pPr>
      <w:r w:rsidRPr="00564851">
        <w:rPr>
          <w:rFonts w:ascii="Times New Roman" w:hAnsi="Times New Roman" w:cs="Times New Roman"/>
          <w:sz w:val="28"/>
          <w:szCs w:val="28"/>
          <w:lang w:val="en-US"/>
        </w:rPr>
        <w:t>14</w:t>
      </w:r>
      <w:proofErr w:type="gramStart"/>
      <w:r w:rsidRPr="00564851">
        <w:rPr>
          <w:rFonts w:ascii="Times New Roman" w:hAnsi="Times New Roman" w:cs="Times New Roman"/>
          <w:sz w:val="28"/>
          <w:szCs w:val="28"/>
          <w:lang w:val="en-US"/>
        </w:rPr>
        <w:t>.Trachuk</w:t>
      </w:r>
      <w:proofErr w:type="gramEnd"/>
      <w:r w:rsidRPr="00564851">
        <w:rPr>
          <w:rFonts w:ascii="Times New Roman" w:hAnsi="Times New Roman" w:cs="Times New Roman"/>
          <w:sz w:val="28"/>
          <w:szCs w:val="28"/>
          <w:lang w:val="en-US"/>
        </w:rPr>
        <w:t xml:space="preserve">, A. Innovative company strategy / A. </w:t>
      </w:r>
      <w:proofErr w:type="spellStart"/>
      <w:r w:rsidRPr="00564851">
        <w:rPr>
          <w:rFonts w:ascii="Times New Roman" w:hAnsi="Times New Roman" w:cs="Times New Roman"/>
          <w:sz w:val="28"/>
          <w:szCs w:val="28"/>
          <w:lang w:val="en-US"/>
        </w:rPr>
        <w:t>Trachuk</w:t>
      </w:r>
      <w:proofErr w:type="spellEnd"/>
      <w:r w:rsidRPr="00564851">
        <w:rPr>
          <w:rFonts w:ascii="Times New Roman" w:hAnsi="Times New Roman" w:cs="Times New Roman"/>
          <w:sz w:val="28"/>
          <w:szCs w:val="28"/>
          <w:lang w:val="en-US"/>
        </w:rPr>
        <w:t xml:space="preserve"> // Problems of management theory and practice. - 2013. </w:t>
      </w:r>
      <w:proofErr w:type="gramStart"/>
      <w:r w:rsidRPr="00564851">
        <w:rPr>
          <w:rFonts w:ascii="Times New Roman" w:hAnsi="Times New Roman" w:cs="Times New Roman"/>
          <w:sz w:val="28"/>
          <w:szCs w:val="28"/>
          <w:lang w:val="en-US"/>
        </w:rPr>
        <w:t>- No. 9.</w:t>
      </w:r>
      <w:proofErr w:type="gramEnd"/>
      <w:r w:rsidRPr="00564851">
        <w:rPr>
          <w:rFonts w:ascii="Times New Roman" w:hAnsi="Times New Roman" w:cs="Times New Roman"/>
          <w:sz w:val="28"/>
          <w:szCs w:val="28"/>
          <w:lang w:val="en-US"/>
        </w:rPr>
        <w:t xml:space="preserve"> - P. 75-83.</w:t>
      </w:r>
    </w:p>
    <w:p w:rsidR="00564851" w:rsidRPr="00564851" w:rsidRDefault="00564851" w:rsidP="00564851">
      <w:pPr>
        <w:spacing w:after="0" w:line="360" w:lineRule="auto"/>
        <w:ind w:firstLine="709"/>
        <w:jc w:val="both"/>
        <w:rPr>
          <w:rFonts w:ascii="Times New Roman" w:hAnsi="Times New Roman" w:cs="Times New Roman"/>
          <w:sz w:val="28"/>
          <w:szCs w:val="28"/>
          <w:lang w:val="en-US"/>
        </w:rPr>
      </w:pPr>
      <w:r w:rsidRPr="00564851">
        <w:rPr>
          <w:rFonts w:ascii="Times New Roman" w:hAnsi="Times New Roman" w:cs="Times New Roman"/>
          <w:sz w:val="28"/>
          <w:szCs w:val="28"/>
          <w:lang w:val="en-US"/>
        </w:rPr>
        <w:t>15</w:t>
      </w:r>
      <w:r w:rsidRPr="00564851">
        <w:rPr>
          <w:rFonts w:ascii="Times New Roman" w:hAnsi="Times New Roman" w:cs="Times New Roman"/>
          <w:sz w:val="28"/>
          <w:szCs w:val="28"/>
          <w:lang w:val="en-US"/>
        </w:rPr>
        <w:t xml:space="preserve">. </w:t>
      </w:r>
      <w:proofErr w:type="spellStart"/>
      <w:r w:rsidRPr="00564851">
        <w:rPr>
          <w:rFonts w:ascii="Times New Roman" w:hAnsi="Times New Roman" w:cs="Times New Roman"/>
          <w:sz w:val="28"/>
          <w:szCs w:val="28"/>
          <w:lang w:val="en-US"/>
        </w:rPr>
        <w:t>Dubinina</w:t>
      </w:r>
      <w:proofErr w:type="spellEnd"/>
      <w:r w:rsidRPr="00564851">
        <w:rPr>
          <w:rFonts w:ascii="Times New Roman" w:hAnsi="Times New Roman" w:cs="Times New Roman"/>
          <w:sz w:val="28"/>
          <w:szCs w:val="28"/>
          <w:lang w:val="en-US"/>
        </w:rPr>
        <w:t xml:space="preserve">, AV Features of innovation economy development in Russian regions / AV </w:t>
      </w:r>
      <w:proofErr w:type="spellStart"/>
      <w:r w:rsidRPr="00564851">
        <w:rPr>
          <w:rFonts w:ascii="Times New Roman" w:hAnsi="Times New Roman" w:cs="Times New Roman"/>
          <w:sz w:val="28"/>
          <w:szCs w:val="28"/>
          <w:lang w:val="en-US"/>
        </w:rPr>
        <w:t>Dubinina</w:t>
      </w:r>
      <w:proofErr w:type="spellEnd"/>
      <w:r w:rsidRPr="00564851">
        <w:rPr>
          <w:rFonts w:ascii="Times New Roman" w:hAnsi="Times New Roman" w:cs="Times New Roman"/>
          <w:sz w:val="28"/>
          <w:szCs w:val="28"/>
          <w:lang w:val="en-US"/>
        </w:rPr>
        <w:t xml:space="preserve"> // Regional economy: theory and practice. - 2013. </w:t>
      </w:r>
      <w:proofErr w:type="gramStart"/>
      <w:r w:rsidRPr="00564851">
        <w:rPr>
          <w:rFonts w:ascii="Times New Roman" w:hAnsi="Times New Roman" w:cs="Times New Roman"/>
          <w:sz w:val="28"/>
          <w:szCs w:val="28"/>
          <w:lang w:val="en-US"/>
        </w:rPr>
        <w:t>- No. 15.</w:t>
      </w:r>
      <w:proofErr w:type="gramEnd"/>
      <w:r w:rsidRPr="00564851">
        <w:rPr>
          <w:rFonts w:ascii="Times New Roman" w:hAnsi="Times New Roman" w:cs="Times New Roman"/>
          <w:sz w:val="28"/>
          <w:szCs w:val="28"/>
          <w:lang w:val="en-US"/>
        </w:rPr>
        <w:t xml:space="preserve"> - P. 31-38.</w:t>
      </w:r>
    </w:p>
    <w:p w:rsidR="00564851" w:rsidRPr="00564851" w:rsidRDefault="00564851" w:rsidP="00564851">
      <w:pPr>
        <w:spacing w:after="0" w:line="360" w:lineRule="auto"/>
        <w:ind w:firstLine="709"/>
        <w:jc w:val="both"/>
        <w:rPr>
          <w:rFonts w:ascii="Times New Roman" w:hAnsi="Times New Roman" w:cs="Times New Roman"/>
          <w:sz w:val="28"/>
          <w:szCs w:val="28"/>
          <w:lang w:val="en-US"/>
        </w:rPr>
      </w:pPr>
      <w:r w:rsidRPr="00564851">
        <w:rPr>
          <w:rFonts w:ascii="Times New Roman" w:hAnsi="Times New Roman" w:cs="Times New Roman"/>
          <w:sz w:val="28"/>
          <w:szCs w:val="28"/>
          <w:lang w:val="en-US"/>
        </w:rPr>
        <w:t>16</w:t>
      </w:r>
      <w:r w:rsidRPr="00564851">
        <w:rPr>
          <w:rFonts w:ascii="Times New Roman" w:hAnsi="Times New Roman" w:cs="Times New Roman"/>
          <w:sz w:val="28"/>
          <w:szCs w:val="28"/>
          <w:lang w:val="en-US"/>
        </w:rPr>
        <w:t>. Annual report of OJSC "</w:t>
      </w:r>
      <w:proofErr w:type="spellStart"/>
      <w:r w:rsidRPr="00564851">
        <w:rPr>
          <w:rFonts w:ascii="Times New Roman" w:hAnsi="Times New Roman" w:cs="Times New Roman"/>
          <w:sz w:val="28"/>
          <w:szCs w:val="28"/>
          <w:lang w:val="en-US"/>
        </w:rPr>
        <w:t>Surgutneftegas</w:t>
      </w:r>
      <w:proofErr w:type="spellEnd"/>
      <w:r w:rsidRPr="00564851">
        <w:rPr>
          <w:rFonts w:ascii="Times New Roman" w:hAnsi="Times New Roman" w:cs="Times New Roman"/>
          <w:sz w:val="28"/>
          <w:szCs w:val="28"/>
          <w:lang w:val="en-US"/>
        </w:rPr>
        <w:t>" for 2015-2016.</w:t>
      </w:r>
    </w:p>
    <w:p w:rsidR="00564851" w:rsidRPr="00564851" w:rsidRDefault="00564851" w:rsidP="00564851">
      <w:pPr>
        <w:spacing w:after="0" w:line="360" w:lineRule="auto"/>
        <w:ind w:firstLine="709"/>
        <w:jc w:val="both"/>
        <w:rPr>
          <w:rFonts w:ascii="Times New Roman" w:hAnsi="Times New Roman" w:cs="Times New Roman"/>
          <w:sz w:val="28"/>
          <w:szCs w:val="28"/>
          <w:lang w:val="en-US"/>
        </w:rPr>
      </w:pPr>
      <w:r w:rsidRPr="00564851">
        <w:rPr>
          <w:rFonts w:ascii="Times New Roman" w:hAnsi="Times New Roman" w:cs="Times New Roman"/>
          <w:sz w:val="28"/>
          <w:szCs w:val="28"/>
          <w:lang w:val="en-US"/>
        </w:rPr>
        <w:t>17</w:t>
      </w:r>
      <w:proofErr w:type="gramStart"/>
      <w:r w:rsidRPr="00564851">
        <w:rPr>
          <w:rFonts w:ascii="Times New Roman" w:hAnsi="Times New Roman" w:cs="Times New Roman"/>
          <w:sz w:val="28"/>
          <w:szCs w:val="28"/>
          <w:lang w:val="en-US"/>
        </w:rPr>
        <w:t>.</w:t>
      </w:r>
      <w:r w:rsidRPr="00564851">
        <w:rPr>
          <w:rFonts w:ascii="Times New Roman" w:hAnsi="Times New Roman" w:cs="Times New Roman"/>
          <w:sz w:val="28"/>
          <w:szCs w:val="28"/>
          <w:lang w:val="en-US"/>
        </w:rPr>
        <w:t>Godovaya</w:t>
      </w:r>
      <w:proofErr w:type="gramEnd"/>
      <w:r w:rsidRPr="00564851">
        <w:rPr>
          <w:rFonts w:ascii="Times New Roman" w:hAnsi="Times New Roman" w:cs="Times New Roman"/>
          <w:sz w:val="28"/>
          <w:szCs w:val="28"/>
          <w:lang w:val="en-US"/>
        </w:rPr>
        <w:t xml:space="preserve"> accounting statements of OJSC "</w:t>
      </w:r>
      <w:proofErr w:type="spellStart"/>
      <w:r w:rsidRPr="00564851">
        <w:rPr>
          <w:rFonts w:ascii="Times New Roman" w:hAnsi="Times New Roman" w:cs="Times New Roman"/>
          <w:sz w:val="28"/>
          <w:szCs w:val="28"/>
          <w:lang w:val="en-US"/>
        </w:rPr>
        <w:t>Surgutneftegas</w:t>
      </w:r>
      <w:proofErr w:type="spellEnd"/>
      <w:r w:rsidRPr="00564851">
        <w:rPr>
          <w:rFonts w:ascii="Times New Roman" w:hAnsi="Times New Roman" w:cs="Times New Roman"/>
          <w:sz w:val="28"/>
          <w:szCs w:val="28"/>
          <w:lang w:val="en-US"/>
        </w:rPr>
        <w:t>" for 2015-2016.</w:t>
      </w:r>
    </w:p>
    <w:p w:rsidR="00564851" w:rsidRPr="00564851" w:rsidRDefault="00564851" w:rsidP="00564851">
      <w:pPr>
        <w:spacing w:after="0" w:line="360" w:lineRule="auto"/>
        <w:ind w:firstLine="709"/>
        <w:jc w:val="both"/>
        <w:rPr>
          <w:rFonts w:ascii="Times New Roman" w:hAnsi="Times New Roman" w:cs="Times New Roman"/>
          <w:sz w:val="28"/>
          <w:szCs w:val="28"/>
          <w:lang w:val="en-US"/>
        </w:rPr>
      </w:pPr>
      <w:r w:rsidRPr="00564851">
        <w:rPr>
          <w:rFonts w:ascii="Times New Roman" w:hAnsi="Times New Roman" w:cs="Times New Roman"/>
          <w:sz w:val="28"/>
          <w:szCs w:val="28"/>
          <w:lang w:val="en-US"/>
        </w:rPr>
        <w:t>18</w:t>
      </w:r>
      <w:r w:rsidRPr="00564851">
        <w:rPr>
          <w:rFonts w:ascii="Times New Roman" w:hAnsi="Times New Roman" w:cs="Times New Roman"/>
          <w:sz w:val="28"/>
          <w:szCs w:val="28"/>
          <w:lang w:val="en-US"/>
        </w:rPr>
        <w:t xml:space="preserve">. </w:t>
      </w:r>
      <w:proofErr w:type="spellStart"/>
      <w:r w:rsidRPr="00564851">
        <w:rPr>
          <w:rFonts w:ascii="Times New Roman" w:hAnsi="Times New Roman" w:cs="Times New Roman"/>
          <w:sz w:val="28"/>
          <w:szCs w:val="28"/>
          <w:lang w:val="en-US"/>
        </w:rPr>
        <w:t>Balabanov</w:t>
      </w:r>
      <w:proofErr w:type="spellEnd"/>
      <w:r w:rsidRPr="00564851">
        <w:rPr>
          <w:rFonts w:ascii="Times New Roman" w:hAnsi="Times New Roman" w:cs="Times New Roman"/>
          <w:sz w:val="28"/>
          <w:szCs w:val="28"/>
          <w:lang w:val="en-US"/>
        </w:rPr>
        <w:t xml:space="preserve">, I.T. Innovative management / </w:t>
      </w:r>
      <w:proofErr w:type="spellStart"/>
      <w:r w:rsidRPr="00564851">
        <w:rPr>
          <w:rFonts w:ascii="Times New Roman" w:hAnsi="Times New Roman" w:cs="Times New Roman"/>
          <w:sz w:val="28"/>
          <w:szCs w:val="28"/>
          <w:lang w:val="en-US"/>
        </w:rPr>
        <w:t>ITBalabanov</w:t>
      </w:r>
      <w:proofErr w:type="spellEnd"/>
      <w:r w:rsidRPr="00564851">
        <w:rPr>
          <w:rFonts w:ascii="Times New Roman" w:hAnsi="Times New Roman" w:cs="Times New Roman"/>
          <w:sz w:val="28"/>
          <w:szCs w:val="28"/>
          <w:lang w:val="en-US"/>
        </w:rPr>
        <w:t>. - St. Petersburg: Peter, 2015 - 304s.</w:t>
      </w:r>
    </w:p>
    <w:p w:rsidR="00564851" w:rsidRPr="00564851" w:rsidRDefault="00564851" w:rsidP="00564851">
      <w:pPr>
        <w:spacing w:after="0" w:line="360" w:lineRule="auto"/>
        <w:ind w:firstLine="709"/>
        <w:jc w:val="both"/>
        <w:rPr>
          <w:rFonts w:ascii="Times New Roman" w:hAnsi="Times New Roman" w:cs="Times New Roman"/>
          <w:sz w:val="28"/>
          <w:szCs w:val="28"/>
          <w:lang w:val="en-US"/>
        </w:rPr>
      </w:pPr>
      <w:r w:rsidRPr="00564851">
        <w:rPr>
          <w:rFonts w:ascii="Times New Roman" w:hAnsi="Times New Roman" w:cs="Times New Roman"/>
          <w:sz w:val="28"/>
          <w:szCs w:val="28"/>
          <w:lang w:val="en-US"/>
        </w:rPr>
        <w:lastRenderedPageBreak/>
        <w:t>19</w:t>
      </w:r>
      <w:proofErr w:type="gramStart"/>
      <w:r w:rsidRPr="00564851">
        <w:rPr>
          <w:rFonts w:ascii="Times New Roman" w:hAnsi="Times New Roman" w:cs="Times New Roman"/>
          <w:sz w:val="28"/>
          <w:szCs w:val="28"/>
          <w:lang w:val="en-US"/>
        </w:rPr>
        <w:t>.</w:t>
      </w:r>
      <w:r w:rsidRPr="00564851">
        <w:rPr>
          <w:rFonts w:ascii="Times New Roman" w:hAnsi="Times New Roman" w:cs="Times New Roman"/>
          <w:sz w:val="28"/>
          <w:szCs w:val="28"/>
          <w:lang w:val="en-US"/>
        </w:rPr>
        <w:t>Balashevich</w:t>
      </w:r>
      <w:proofErr w:type="gramEnd"/>
      <w:r w:rsidRPr="00564851">
        <w:rPr>
          <w:rFonts w:ascii="Times New Roman" w:hAnsi="Times New Roman" w:cs="Times New Roman"/>
          <w:sz w:val="28"/>
          <w:szCs w:val="28"/>
          <w:lang w:val="en-US"/>
        </w:rPr>
        <w:t xml:space="preserve">, M.I. Small business: domestic and foreign experience / M.I. </w:t>
      </w:r>
      <w:proofErr w:type="spellStart"/>
      <w:r w:rsidRPr="00564851">
        <w:rPr>
          <w:rFonts w:ascii="Times New Roman" w:hAnsi="Times New Roman" w:cs="Times New Roman"/>
          <w:sz w:val="28"/>
          <w:szCs w:val="28"/>
          <w:lang w:val="en-US"/>
        </w:rPr>
        <w:t>Balashevich</w:t>
      </w:r>
      <w:proofErr w:type="spellEnd"/>
      <w:r w:rsidRPr="00564851">
        <w:rPr>
          <w:rFonts w:ascii="Times New Roman" w:hAnsi="Times New Roman" w:cs="Times New Roman"/>
          <w:sz w:val="28"/>
          <w:szCs w:val="28"/>
          <w:lang w:val="en-US"/>
        </w:rPr>
        <w:t xml:space="preserve">. - </w:t>
      </w:r>
      <w:proofErr w:type="spellStart"/>
      <w:r w:rsidRPr="00564851">
        <w:rPr>
          <w:rFonts w:ascii="Times New Roman" w:hAnsi="Times New Roman" w:cs="Times New Roman"/>
          <w:sz w:val="28"/>
          <w:szCs w:val="28"/>
          <w:lang w:val="en-US"/>
        </w:rPr>
        <w:t>Mn</w:t>
      </w:r>
      <w:proofErr w:type="spellEnd"/>
      <w:r w:rsidRPr="00564851">
        <w:rPr>
          <w:rFonts w:ascii="Times New Roman" w:hAnsi="Times New Roman" w:cs="Times New Roman"/>
          <w:sz w:val="28"/>
          <w:szCs w:val="28"/>
          <w:lang w:val="en-US"/>
        </w:rPr>
        <w:t>. 2014. - 410 s.</w:t>
      </w:r>
    </w:p>
    <w:p w:rsidR="00564851" w:rsidRPr="00564851" w:rsidRDefault="00564851" w:rsidP="00564851">
      <w:pPr>
        <w:spacing w:after="0" w:line="360" w:lineRule="auto"/>
        <w:ind w:firstLine="709"/>
        <w:jc w:val="both"/>
        <w:rPr>
          <w:rFonts w:ascii="Times New Roman" w:hAnsi="Times New Roman" w:cs="Times New Roman"/>
          <w:sz w:val="28"/>
          <w:szCs w:val="28"/>
          <w:lang w:val="en-US"/>
        </w:rPr>
      </w:pPr>
      <w:r w:rsidRPr="00564851">
        <w:rPr>
          <w:rFonts w:ascii="Times New Roman" w:hAnsi="Times New Roman" w:cs="Times New Roman"/>
          <w:sz w:val="28"/>
          <w:szCs w:val="28"/>
          <w:lang w:val="en-US"/>
        </w:rPr>
        <w:t>20</w:t>
      </w:r>
      <w:r w:rsidRPr="00564851">
        <w:rPr>
          <w:rFonts w:ascii="Times New Roman" w:hAnsi="Times New Roman" w:cs="Times New Roman"/>
          <w:sz w:val="28"/>
          <w:szCs w:val="28"/>
          <w:lang w:val="en-US"/>
        </w:rPr>
        <w:t xml:space="preserve">. </w:t>
      </w:r>
      <w:proofErr w:type="spellStart"/>
      <w:r w:rsidRPr="00564851">
        <w:rPr>
          <w:rFonts w:ascii="Times New Roman" w:hAnsi="Times New Roman" w:cs="Times New Roman"/>
          <w:sz w:val="28"/>
          <w:szCs w:val="28"/>
          <w:lang w:val="en-US"/>
        </w:rPr>
        <w:t>Volkov</w:t>
      </w:r>
      <w:proofErr w:type="spellEnd"/>
      <w:r w:rsidRPr="00564851">
        <w:rPr>
          <w:rFonts w:ascii="Times New Roman" w:hAnsi="Times New Roman" w:cs="Times New Roman"/>
          <w:sz w:val="28"/>
          <w:szCs w:val="28"/>
          <w:lang w:val="en-US"/>
        </w:rPr>
        <w:t xml:space="preserve">, O.I. Economics of the enterprise (firm): Textbook / prof. O.I. </w:t>
      </w:r>
      <w:proofErr w:type="spellStart"/>
      <w:r w:rsidRPr="00564851">
        <w:rPr>
          <w:rFonts w:ascii="Times New Roman" w:hAnsi="Times New Roman" w:cs="Times New Roman"/>
          <w:sz w:val="28"/>
          <w:szCs w:val="28"/>
          <w:lang w:val="en-US"/>
        </w:rPr>
        <w:t>Volkov</w:t>
      </w:r>
      <w:proofErr w:type="spellEnd"/>
      <w:r w:rsidRPr="00564851">
        <w:rPr>
          <w:rFonts w:ascii="Times New Roman" w:hAnsi="Times New Roman" w:cs="Times New Roman"/>
          <w:sz w:val="28"/>
          <w:szCs w:val="28"/>
          <w:lang w:val="en-US"/>
        </w:rPr>
        <w:t xml:space="preserve">, Assoc. O.V. </w:t>
      </w:r>
      <w:proofErr w:type="spellStart"/>
      <w:r w:rsidRPr="00564851">
        <w:rPr>
          <w:rFonts w:ascii="Times New Roman" w:hAnsi="Times New Roman" w:cs="Times New Roman"/>
          <w:sz w:val="28"/>
          <w:szCs w:val="28"/>
          <w:lang w:val="en-US"/>
        </w:rPr>
        <w:t>Devyatkin</w:t>
      </w:r>
      <w:proofErr w:type="spellEnd"/>
      <w:r w:rsidRPr="00564851">
        <w:rPr>
          <w:rFonts w:ascii="Times New Roman" w:hAnsi="Times New Roman" w:cs="Times New Roman"/>
          <w:sz w:val="28"/>
          <w:szCs w:val="28"/>
          <w:lang w:val="en-US"/>
        </w:rPr>
        <w:t xml:space="preserve">. - 3rd ed., </w:t>
      </w:r>
      <w:proofErr w:type="spellStart"/>
      <w:r w:rsidRPr="00564851">
        <w:rPr>
          <w:rFonts w:ascii="Times New Roman" w:hAnsi="Times New Roman" w:cs="Times New Roman"/>
          <w:sz w:val="28"/>
          <w:szCs w:val="28"/>
          <w:lang w:val="en-US"/>
        </w:rPr>
        <w:t>Pererab</w:t>
      </w:r>
      <w:proofErr w:type="spellEnd"/>
      <w:r w:rsidRPr="00564851">
        <w:rPr>
          <w:rFonts w:ascii="Times New Roman" w:hAnsi="Times New Roman" w:cs="Times New Roman"/>
          <w:sz w:val="28"/>
          <w:szCs w:val="28"/>
          <w:lang w:val="en-US"/>
        </w:rPr>
        <w:t xml:space="preserve">. </w:t>
      </w:r>
      <w:proofErr w:type="gramStart"/>
      <w:r w:rsidRPr="00564851">
        <w:rPr>
          <w:rFonts w:ascii="Times New Roman" w:hAnsi="Times New Roman" w:cs="Times New Roman"/>
          <w:sz w:val="28"/>
          <w:szCs w:val="28"/>
          <w:lang w:val="en-US"/>
        </w:rPr>
        <w:t>and</w:t>
      </w:r>
      <w:proofErr w:type="gramEnd"/>
      <w:r w:rsidRPr="00564851">
        <w:rPr>
          <w:rFonts w:ascii="Times New Roman" w:hAnsi="Times New Roman" w:cs="Times New Roman"/>
          <w:sz w:val="28"/>
          <w:szCs w:val="28"/>
          <w:lang w:val="en-US"/>
        </w:rPr>
        <w:t xml:space="preserve"> additional. - Moscow: INFRA-M, 2015. </w:t>
      </w:r>
      <w:proofErr w:type="gramStart"/>
      <w:r w:rsidRPr="00564851">
        <w:rPr>
          <w:rFonts w:ascii="Times New Roman" w:hAnsi="Times New Roman" w:cs="Times New Roman"/>
          <w:sz w:val="28"/>
          <w:szCs w:val="28"/>
          <w:lang w:val="en-US"/>
        </w:rPr>
        <w:t xml:space="preserve">- 601 </w:t>
      </w:r>
      <w:proofErr w:type="spellStart"/>
      <w:r w:rsidRPr="00564851">
        <w:rPr>
          <w:rFonts w:ascii="Times New Roman" w:hAnsi="Times New Roman" w:cs="Times New Roman"/>
          <w:sz w:val="28"/>
          <w:szCs w:val="28"/>
          <w:lang w:val="en-US"/>
        </w:rPr>
        <w:t>p.null</w:t>
      </w:r>
      <w:proofErr w:type="spellEnd"/>
      <w:proofErr w:type="gramEnd"/>
    </w:p>
    <w:p w:rsidR="00754E6B" w:rsidRPr="00564851" w:rsidRDefault="00754E6B" w:rsidP="00932B96">
      <w:pPr>
        <w:spacing w:after="0" w:line="360" w:lineRule="auto"/>
        <w:ind w:firstLine="709"/>
        <w:jc w:val="both"/>
        <w:rPr>
          <w:rFonts w:ascii="Times New Roman" w:hAnsi="Times New Roman" w:cs="Times New Roman"/>
          <w:sz w:val="28"/>
          <w:szCs w:val="28"/>
          <w:lang w:val="en-US"/>
        </w:rPr>
      </w:pPr>
    </w:p>
    <w:sectPr w:rsidR="00754E6B" w:rsidRPr="00564851" w:rsidSect="00027C7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A8"/>
    <w:rsid w:val="00027C7B"/>
    <w:rsid w:val="00030F11"/>
    <w:rsid w:val="000C074E"/>
    <w:rsid w:val="000D09E3"/>
    <w:rsid w:val="00207649"/>
    <w:rsid w:val="0030081F"/>
    <w:rsid w:val="00564851"/>
    <w:rsid w:val="00681048"/>
    <w:rsid w:val="006E07D1"/>
    <w:rsid w:val="00754E6B"/>
    <w:rsid w:val="00932B96"/>
    <w:rsid w:val="00971815"/>
    <w:rsid w:val="00B158DC"/>
    <w:rsid w:val="00B805A8"/>
    <w:rsid w:val="00BF3BA0"/>
    <w:rsid w:val="00FF3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54E6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54E6B"/>
    <w:rPr>
      <w:rFonts w:ascii="Tahoma" w:hAnsi="Tahoma" w:cs="Tahoma"/>
      <w:sz w:val="16"/>
      <w:szCs w:val="16"/>
    </w:rPr>
  </w:style>
  <w:style w:type="paragraph" w:styleId="a5">
    <w:name w:val="List Paragraph"/>
    <w:basedOn w:val="a"/>
    <w:uiPriority w:val="34"/>
    <w:qFormat/>
    <w:rsid w:val="005648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54E6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54E6B"/>
    <w:rPr>
      <w:rFonts w:ascii="Tahoma" w:hAnsi="Tahoma" w:cs="Tahoma"/>
      <w:sz w:val="16"/>
      <w:szCs w:val="16"/>
    </w:rPr>
  </w:style>
  <w:style w:type="paragraph" w:styleId="a5">
    <w:name w:val="List Paragraph"/>
    <w:basedOn w:val="a"/>
    <w:uiPriority w:val="34"/>
    <w:qFormat/>
    <w:rsid w:val="005648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8.9594998541848922E-2"/>
          <c:y val="7.2543784722078924E-2"/>
          <c:w val="0.83468740886555848"/>
          <c:h val="0.75144552944180132"/>
        </c:manualLayout>
      </c:layout>
      <c:barChart>
        <c:barDir val="col"/>
        <c:grouping val="clustered"/>
        <c:varyColors val="0"/>
        <c:ser>
          <c:idx val="0"/>
          <c:order val="0"/>
          <c:tx>
            <c:strRef>
              <c:f>Лист1!$B$1</c:f>
              <c:strCache>
                <c:ptCount val="1"/>
                <c:pt idx="0">
                  <c:v>Выручка </c:v>
                </c:pt>
              </c:strCache>
            </c:strRef>
          </c:tx>
          <c:spPr>
            <a:solidFill>
              <a:srgbClr val="00B050"/>
            </a:solidFill>
          </c:spPr>
          <c:invertIfNegative val="0"/>
          <c:dLbls>
            <c:dLbl>
              <c:idx val="4"/>
              <c:layout>
                <c:manualLayout>
                  <c:x val="2.0918854808420914E-2"/>
                  <c:y val="2.3026881351820305E-2"/>
                </c:manualLayout>
              </c:layout>
              <c:dLblPos val="outEnd"/>
              <c:showLegendKey val="0"/>
              <c:showVal val="1"/>
              <c:showCatName val="0"/>
              <c:showSerName val="0"/>
              <c:showPercent val="0"/>
              <c:showBubbleSize val="0"/>
            </c:dLbl>
            <c:dLblPos val="outEnd"/>
            <c:showLegendKey val="0"/>
            <c:showVal val="1"/>
            <c:showCatName val="0"/>
            <c:showSerName val="0"/>
            <c:showPercent val="0"/>
            <c:showBubbleSize val="0"/>
            <c:showLeaderLines val="0"/>
          </c:dLbls>
          <c:cat>
            <c:numRef>
              <c:f>Лист1!$A$2:$A$6</c:f>
              <c:numCache>
                <c:formatCode>General</c:formatCode>
                <c:ptCount val="5"/>
                <c:pt idx="0">
                  <c:v>2012</c:v>
                </c:pt>
                <c:pt idx="1">
                  <c:v>2013</c:v>
                </c:pt>
                <c:pt idx="2">
                  <c:v>2014</c:v>
                </c:pt>
                <c:pt idx="3">
                  <c:v>2015</c:v>
                </c:pt>
                <c:pt idx="4">
                  <c:v>2016</c:v>
                </c:pt>
              </c:numCache>
            </c:numRef>
          </c:cat>
          <c:val>
            <c:numRef>
              <c:f>Лист1!$B$2:$B$6</c:f>
              <c:numCache>
                <c:formatCode>General</c:formatCode>
                <c:ptCount val="5"/>
                <c:pt idx="0">
                  <c:v>816</c:v>
                </c:pt>
                <c:pt idx="1">
                  <c:v>814</c:v>
                </c:pt>
                <c:pt idx="2">
                  <c:v>863</c:v>
                </c:pt>
                <c:pt idx="3">
                  <c:v>978</c:v>
                </c:pt>
                <c:pt idx="4">
                  <c:v>993</c:v>
                </c:pt>
              </c:numCache>
            </c:numRef>
          </c:val>
        </c:ser>
        <c:ser>
          <c:idx val="1"/>
          <c:order val="1"/>
          <c:tx>
            <c:strRef>
              <c:f>Лист1!$C$1</c:f>
              <c:strCache>
                <c:ptCount val="1"/>
                <c:pt idx="0">
                  <c:v>Прибыль с продаж</c:v>
                </c:pt>
              </c:strCache>
            </c:strRef>
          </c:tx>
          <c:spPr>
            <a:solidFill>
              <a:srgbClr val="C00000"/>
            </a:solidFill>
          </c:spPr>
          <c:invertIfNegative val="0"/>
          <c:dLbls>
            <c:dLblPos val="outEnd"/>
            <c:showLegendKey val="0"/>
            <c:showVal val="1"/>
            <c:showCatName val="0"/>
            <c:showSerName val="0"/>
            <c:showPercent val="0"/>
            <c:showBubbleSize val="0"/>
            <c:showLeaderLines val="0"/>
          </c:dLbls>
          <c:cat>
            <c:numRef>
              <c:f>Лист1!$A$2:$A$6</c:f>
              <c:numCache>
                <c:formatCode>General</c:formatCode>
                <c:ptCount val="5"/>
                <c:pt idx="0">
                  <c:v>2012</c:v>
                </c:pt>
                <c:pt idx="1">
                  <c:v>2013</c:v>
                </c:pt>
                <c:pt idx="2">
                  <c:v>2014</c:v>
                </c:pt>
                <c:pt idx="3">
                  <c:v>2015</c:v>
                </c:pt>
                <c:pt idx="4">
                  <c:v>2016</c:v>
                </c:pt>
              </c:numCache>
            </c:numRef>
          </c:cat>
          <c:val>
            <c:numRef>
              <c:f>Лист1!$C$2:$C$6</c:f>
              <c:numCache>
                <c:formatCode>General</c:formatCode>
                <c:ptCount val="5"/>
                <c:pt idx="0">
                  <c:v>215</c:v>
                </c:pt>
                <c:pt idx="1">
                  <c:v>200</c:v>
                </c:pt>
                <c:pt idx="2">
                  <c:v>177</c:v>
                </c:pt>
                <c:pt idx="3">
                  <c:v>234</c:v>
                </c:pt>
                <c:pt idx="4">
                  <c:v>235</c:v>
                </c:pt>
              </c:numCache>
            </c:numRef>
          </c:val>
        </c:ser>
        <c:dLbls>
          <c:showLegendKey val="0"/>
          <c:showVal val="0"/>
          <c:showCatName val="0"/>
          <c:showSerName val="0"/>
          <c:showPercent val="0"/>
          <c:showBubbleSize val="0"/>
        </c:dLbls>
        <c:gapWidth val="150"/>
        <c:axId val="142956032"/>
        <c:axId val="143008128"/>
      </c:barChart>
      <c:lineChart>
        <c:grouping val="stacked"/>
        <c:varyColors val="0"/>
        <c:ser>
          <c:idx val="2"/>
          <c:order val="2"/>
          <c:tx>
            <c:strRef>
              <c:f>Лист1!$D$1</c:f>
              <c:strCache>
                <c:ptCount val="1"/>
                <c:pt idx="0">
                  <c:v>Добыча нефти</c:v>
                </c:pt>
              </c:strCache>
            </c:strRef>
          </c:tx>
          <c:spPr>
            <a:ln>
              <a:solidFill>
                <a:schemeClr val="tx1"/>
              </a:solidFill>
            </a:ln>
          </c:spPr>
          <c:marker>
            <c:spPr>
              <a:solidFill>
                <a:schemeClr val="tx1"/>
              </a:solidFill>
              <a:ln>
                <a:solidFill>
                  <a:schemeClr val="tx1"/>
                </a:solidFill>
              </a:ln>
            </c:spPr>
          </c:marker>
          <c:dLbls>
            <c:dLbl>
              <c:idx val="2"/>
              <c:layout>
                <c:manualLayout>
                  <c:x val="-5.4389578284754971E-2"/>
                  <c:y val="5.5025769473592993E-2"/>
                </c:manualLayout>
              </c:layout>
              <c:dLblPos val="r"/>
              <c:showLegendKey val="0"/>
              <c:showVal val="1"/>
              <c:showCatName val="0"/>
              <c:showSerName val="0"/>
              <c:showPercent val="0"/>
              <c:showBubbleSize val="0"/>
            </c:dLbl>
            <c:dLbl>
              <c:idx val="4"/>
              <c:layout>
                <c:manualLayout>
                  <c:x val="-5.4389578284754971E-2"/>
                  <c:y val="-5.5608052748445838E-2"/>
                </c:manualLayout>
              </c:layout>
              <c:dLblPos val="r"/>
              <c:showLegendKey val="0"/>
              <c:showVal val="1"/>
              <c:showCatName val="0"/>
              <c:showSerName val="0"/>
              <c:showPercent val="0"/>
              <c:showBubbleSize val="0"/>
            </c:dLbl>
            <c:dLblPos val="b"/>
            <c:showLegendKey val="0"/>
            <c:showVal val="1"/>
            <c:showCatName val="0"/>
            <c:showSerName val="0"/>
            <c:showPercent val="0"/>
            <c:showBubbleSize val="0"/>
            <c:showLeaderLines val="0"/>
          </c:dLbls>
          <c:cat>
            <c:numRef>
              <c:f>Лист1!$A$2:$A$6</c:f>
              <c:numCache>
                <c:formatCode>General</c:formatCode>
                <c:ptCount val="5"/>
                <c:pt idx="0">
                  <c:v>2012</c:v>
                </c:pt>
                <c:pt idx="1">
                  <c:v>2013</c:v>
                </c:pt>
                <c:pt idx="2">
                  <c:v>2014</c:v>
                </c:pt>
                <c:pt idx="3">
                  <c:v>2015</c:v>
                </c:pt>
                <c:pt idx="4">
                  <c:v>2016</c:v>
                </c:pt>
              </c:numCache>
            </c:numRef>
          </c:cat>
          <c:val>
            <c:numRef>
              <c:f>Лист1!$D$2:$D$6</c:f>
              <c:numCache>
                <c:formatCode>General</c:formatCode>
                <c:ptCount val="5"/>
                <c:pt idx="0">
                  <c:v>61.405000000000001</c:v>
                </c:pt>
                <c:pt idx="1">
                  <c:v>61.453000000000003</c:v>
                </c:pt>
                <c:pt idx="2">
                  <c:v>61.625</c:v>
                </c:pt>
                <c:pt idx="3">
                  <c:v>61.622</c:v>
                </c:pt>
                <c:pt idx="4">
                  <c:v>61.848999999999997</c:v>
                </c:pt>
              </c:numCache>
            </c:numRef>
          </c:val>
          <c:smooth val="0"/>
        </c:ser>
        <c:dLbls>
          <c:showLegendKey val="0"/>
          <c:showVal val="0"/>
          <c:showCatName val="0"/>
          <c:showSerName val="0"/>
          <c:showPercent val="0"/>
          <c:showBubbleSize val="0"/>
        </c:dLbls>
        <c:marker val="1"/>
        <c:smooth val="0"/>
        <c:axId val="143065088"/>
        <c:axId val="143046144"/>
      </c:lineChart>
      <c:catAx>
        <c:axId val="142956032"/>
        <c:scaling>
          <c:orientation val="minMax"/>
        </c:scaling>
        <c:delete val="0"/>
        <c:axPos val="b"/>
        <c:numFmt formatCode="General" sourceLinked="1"/>
        <c:majorTickMark val="out"/>
        <c:minorTickMark val="none"/>
        <c:tickLblPos val="nextTo"/>
        <c:crossAx val="143008128"/>
        <c:crosses val="autoZero"/>
        <c:auto val="1"/>
        <c:lblAlgn val="ctr"/>
        <c:lblOffset val="100"/>
        <c:noMultiLvlLbl val="0"/>
      </c:catAx>
      <c:valAx>
        <c:axId val="143008128"/>
        <c:scaling>
          <c:orientation val="minMax"/>
        </c:scaling>
        <c:delete val="0"/>
        <c:axPos val="l"/>
        <c:majorGridlines/>
        <c:title>
          <c:tx>
            <c:rich>
              <a:bodyPr rot="0" vert="horz"/>
              <a:lstStyle/>
              <a:p>
                <a:pPr>
                  <a:defRPr/>
                </a:pPr>
                <a:r>
                  <a:rPr lang="ru-RU"/>
                  <a:t>Млрд.руб.</a:t>
                </a:r>
              </a:p>
            </c:rich>
          </c:tx>
          <c:layout>
            <c:manualLayout>
              <c:xMode val="edge"/>
              <c:yMode val="edge"/>
              <c:x val="0"/>
              <c:y val="3.637045369328819E-3"/>
            </c:manualLayout>
          </c:layout>
          <c:overlay val="0"/>
        </c:title>
        <c:numFmt formatCode="General" sourceLinked="1"/>
        <c:majorTickMark val="out"/>
        <c:minorTickMark val="none"/>
        <c:tickLblPos val="nextTo"/>
        <c:crossAx val="142956032"/>
        <c:crosses val="autoZero"/>
        <c:crossBetween val="between"/>
      </c:valAx>
      <c:valAx>
        <c:axId val="143046144"/>
        <c:scaling>
          <c:orientation val="minMax"/>
        </c:scaling>
        <c:delete val="0"/>
        <c:axPos val="r"/>
        <c:title>
          <c:tx>
            <c:rich>
              <a:bodyPr rot="0" vert="horz"/>
              <a:lstStyle/>
              <a:p>
                <a:pPr>
                  <a:defRPr/>
                </a:pPr>
                <a:r>
                  <a:rPr lang="ru-RU"/>
                  <a:t>Млн.т.</a:t>
                </a:r>
              </a:p>
            </c:rich>
          </c:tx>
          <c:layout>
            <c:manualLayout>
              <c:xMode val="edge"/>
              <c:yMode val="edge"/>
              <c:x val="0.90285888743073783"/>
              <c:y val="3.637045369328819E-3"/>
            </c:manualLayout>
          </c:layout>
          <c:overlay val="0"/>
        </c:title>
        <c:numFmt formatCode="General" sourceLinked="1"/>
        <c:majorTickMark val="out"/>
        <c:minorTickMark val="none"/>
        <c:tickLblPos val="nextTo"/>
        <c:crossAx val="143065088"/>
        <c:crosses val="max"/>
        <c:crossBetween val="between"/>
      </c:valAx>
      <c:catAx>
        <c:axId val="143065088"/>
        <c:scaling>
          <c:orientation val="minMax"/>
        </c:scaling>
        <c:delete val="1"/>
        <c:axPos val="b"/>
        <c:numFmt formatCode="General" sourceLinked="1"/>
        <c:majorTickMark val="out"/>
        <c:minorTickMark val="none"/>
        <c:tickLblPos val="nextTo"/>
        <c:crossAx val="143046144"/>
        <c:crosses val="autoZero"/>
        <c:auto val="1"/>
        <c:lblAlgn val="ctr"/>
        <c:lblOffset val="100"/>
        <c:noMultiLvlLbl val="0"/>
      </c:catAx>
    </c:plotArea>
    <c:legend>
      <c:legendPos val="b"/>
      <c:overlay val="0"/>
    </c:legend>
    <c:plotVisOnly val="1"/>
    <c:dispBlanksAs val="gap"/>
    <c:showDLblsOverMax val="0"/>
  </c:chart>
  <c:spPr>
    <a:ln>
      <a:noFill/>
    </a:ln>
  </c:spPr>
  <c:txPr>
    <a:bodyPr/>
    <a:lstStyle/>
    <a:p>
      <a:pPr>
        <a:defRPr sz="1200" b="1">
          <a:latin typeface="Times New Roman" pitchFamily="18" charset="0"/>
          <a:cs typeface="Times New Roman"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233304170312032E-2"/>
          <c:y val="0.13125640544931885"/>
          <c:w val="0.91930373286672495"/>
          <c:h val="0.53579785332885654"/>
        </c:manualLayout>
      </c:layout>
      <c:lineChart>
        <c:grouping val="standard"/>
        <c:varyColors val="0"/>
        <c:ser>
          <c:idx val="0"/>
          <c:order val="0"/>
          <c:tx>
            <c:strRef>
              <c:f>Лист1!$B$1</c:f>
              <c:strCache>
                <c:ptCount val="1"/>
                <c:pt idx="0">
                  <c:v>Освоение новых технологий</c:v>
                </c:pt>
              </c:strCache>
            </c:strRef>
          </c:tx>
          <c:spPr>
            <a:ln>
              <a:solidFill>
                <a:srgbClr val="00B050"/>
              </a:solidFill>
            </a:ln>
          </c:spPr>
          <c:marker>
            <c:spPr>
              <a:solidFill>
                <a:srgbClr val="00B050"/>
              </a:solidFill>
              <a:ln>
                <a:solidFill>
                  <a:srgbClr val="00B050"/>
                </a:solidFill>
              </a:ln>
            </c:spPr>
          </c:marker>
          <c:cat>
            <c:numRef>
              <c:f>Лист1!$A$2:$A$6</c:f>
              <c:numCache>
                <c:formatCode>General</c:formatCode>
                <c:ptCount val="5"/>
                <c:pt idx="0">
                  <c:v>2012</c:v>
                </c:pt>
                <c:pt idx="1">
                  <c:v>2013</c:v>
                </c:pt>
                <c:pt idx="2">
                  <c:v>2014</c:v>
                </c:pt>
                <c:pt idx="3">
                  <c:v>2015</c:v>
                </c:pt>
                <c:pt idx="4">
                  <c:v>2016</c:v>
                </c:pt>
              </c:numCache>
            </c:numRef>
          </c:cat>
          <c:val>
            <c:numRef>
              <c:f>Лист1!$B$2:$B$6</c:f>
              <c:numCache>
                <c:formatCode>General</c:formatCode>
                <c:ptCount val="5"/>
                <c:pt idx="0">
                  <c:v>10.4</c:v>
                </c:pt>
                <c:pt idx="1">
                  <c:v>10</c:v>
                </c:pt>
                <c:pt idx="2">
                  <c:v>11.1</c:v>
                </c:pt>
                <c:pt idx="3">
                  <c:v>10.199999999999999</c:v>
                </c:pt>
                <c:pt idx="4">
                  <c:v>10.199999999999999</c:v>
                </c:pt>
              </c:numCache>
            </c:numRef>
          </c:val>
          <c:smooth val="0"/>
        </c:ser>
        <c:ser>
          <c:idx val="1"/>
          <c:order val="1"/>
          <c:tx>
            <c:strRef>
              <c:f>Лист1!$C$1</c:f>
              <c:strCache>
                <c:ptCount val="1"/>
                <c:pt idx="0">
                  <c:v>Рационализаторские работы</c:v>
                </c:pt>
              </c:strCache>
            </c:strRef>
          </c:tx>
          <c:spPr>
            <a:ln>
              <a:solidFill>
                <a:srgbClr val="C00000"/>
              </a:solidFill>
            </a:ln>
          </c:spPr>
          <c:marker>
            <c:spPr>
              <a:solidFill>
                <a:srgbClr val="C00000"/>
              </a:solidFill>
              <a:ln>
                <a:solidFill>
                  <a:srgbClr val="C00000"/>
                </a:solidFill>
              </a:ln>
            </c:spPr>
          </c:marker>
          <c:cat>
            <c:numRef>
              <c:f>Лист1!$A$2:$A$6</c:f>
              <c:numCache>
                <c:formatCode>General</c:formatCode>
                <c:ptCount val="5"/>
                <c:pt idx="0">
                  <c:v>2012</c:v>
                </c:pt>
                <c:pt idx="1">
                  <c:v>2013</c:v>
                </c:pt>
                <c:pt idx="2">
                  <c:v>2014</c:v>
                </c:pt>
                <c:pt idx="3">
                  <c:v>2015</c:v>
                </c:pt>
                <c:pt idx="4">
                  <c:v>2016</c:v>
                </c:pt>
              </c:numCache>
            </c:numRef>
          </c:cat>
          <c:val>
            <c:numRef>
              <c:f>Лист1!$C$2:$C$6</c:f>
              <c:numCache>
                <c:formatCode>General</c:formatCode>
                <c:ptCount val="5"/>
                <c:pt idx="0">
                  <c:v>0.6</c:v>
                </c:pt>
                <c:pt idx="1">
                  <c:v>0.6</c:v>
                </c:pt>
                <c:pt idx="2">
                  <c:v>1.1000000000000001</c:v>
                </c:pt>
                <c:pt idx="3">
                  <c:v>1.1000000000000001</c:v>
                </c:pt>
                <c:pt idx="4">
                  <c:v>1.1000000000000001</c:v>
                </c:pt>
              </c:numCache>
            </c:numRef>
          </c:val>
          <c:smooth val="0"/>
        </c:ser>
        <c:dLbls>
          <c:dLblPos val="t"/>
          <c:showLegendKey val="0"/>
          <c:showVal val="1"/>
          <c:showCatName val="0"/>
          <c:showSerName val="0"/>
          <c:showPercent val="0"/>
          <c:showBubbleSize val="0"/>
        </c:dLbls>
        <c:marker val="1"/>
        <c:smooth val="0"/>
        <c:axId val="145733888"/>
        <c:axId val="145803904"/>
      </c:lineChart>
      <c:catAx>
        <c:axId val="145733888"/>
        <c:scaling>
          <c:orientation val="minMax"/>
        </c:scaling>
        <c:delete val="0"/>
        <c:axPos val="b"/>
        <c:numFmt formatCode="General" sourceLinked="1"/>
        <c:majorTickMark val="out"/>
        <c:minorTickMark val="none"/>
        <c:tickLblPos val="nextTo"/>
        <c:crossAx val="145803904"/>
        <c:crosses val="autoZero"/>
        <c:auto val="1"/>
        <c:lblAlgn val="ctr"/>
        <c:lblOffset val="100"/>
        <c:noMultiLvlLbl val="0"/>
      </c:catAx>
      <c:valAx>
        <c:axId val="145803904"/>
        <c:scaling>
          <c:orientation val="minMax"/>
        </c:scaling>
        <c:delete val="0"/>
        <c:axPos val="l"/>
        <c:majorGridlines/>
        <c:title>
          <c:tx>
            <c:rich>
              <a:bodyPr rot="0" vert="horz"/>
              <a:lstStyle/>
              <a:p>
                <a:pPr>
                  <a:defRPr/>
                </a:pPr>
                <a:r>
                  <a:rPr lang="ru-RU"/>
                  <a:t>Млрд.руб.</a:t>
                </a:r>
              </a:p>
            </c:rich>
          </c:tx>
          <c:layout>
            <c:manualLayout>
              <c:xMode val="edge"/>
              <c:yMode val="edge"/>
              <c:x val="0"/>
              <c:y val="2.6846644169478866E-3"/>
            </c:manualLayout>
          </c:layout>
          <c:overlay val="0"/>
        </c:title>
        <c:numFmt formatCode="General" sourceLinked="1"/>
        <c:majorTickMark val="out"/>
        <c:minorTickMark val="none"/>
        <c:tickLblPos val="nextTo"/>
        <c:crossAx val="145733888"/>
        <c:crosses val="autoZero"/>
        <c:crossBetween val="between"/>
      </c:valAx>
    </c:plotArea>
    <c:legend>
      <c:legendPos val="b"/>
      <c:layout>
        <c:manualLayout>
          <c:xMode val="edge"/>
          <c:yMode val="edge"/>
          <c:x val="2.198162729658806E-4"/>
          <c:y val="0.88456536682914633"/>
          <c:w val="0.99724537037037042"/>
          <c:h val="9.184774069982321E-2"/>
        </c:manualLayout>
      </c:layout>
      <c:overlay val="0"/>
    </c:legend>
    <c:plotVisOnly val="1"/>
    <c:dispBlanksAs val="zero"/>
    <c:showDLblsOverMax val="0"/>
  </c:chart>
  <c:spPr>
    <a:ln>
      <a:noFill/>
    </a:ln>
  </c:spPr>
  <c:txPr>
    <a:bodyPr/>
    <a:lstStyle/>
    <a:p>
      <a:pPr>
        <a:defRPr sz="1400" b="1">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10</Pages>
  <Words>2161</Words>
  <Characters>12321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Абрамова</dc:creator>
  <cp:keywords/>
  <dc:description/>
  <cp:lastModifiedBy>Екатерина Абрамова</cp:lastModifiedBy>
  <cp:revision>7</cp:revision>
  <dcterms:created xsi:type="dcterms:W3CDTF">2018-04-13T14:06:00Z</dcterms:created>
  <dcterms:modified xsi:type="dcterms:W3CDTF">2018-04-13T16:19:00Z</dcterms:modified>
</cp:coreProperties>
</file>