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D6" w:rsidRPr="007A5492" w:rsidRDefault="007A5492" w:rsidP="007A5492">
      <w:pPr>
        <w:spacing w:line="360" w:lineRule="auto"/>
        <w:jc w:val="center"/>
        <w:rPr>
          <w:b/>
          <w:sz w:val="28"/>
          <w:szCs w:val="28"/>
          <w:lang w:val="en-US"/>
        </w:rPr>
      </w:pPr>
      <w:r w:rsidRPr="007A5492">
        <w:rPr>
          <w:b/>
          <w:sz w:val="28"/>
          <w:szCs w:val="28"/>
        </w:rPr>
        <w:t xml:space="preserve">МЕТОДИКА ОЦЕНКИ ФИНАНСОВОЙ УСТОЙЧИВОСТИ ПОСРЕДСТВОМ ПРИМЕНЕНИЯ СКОРИНГОВОЙ МОДЕЛИ </w:t>
      </w:r>
    </w:p>
    <w:p w:rsidR="00B03294" w:rsidRDefault="00B03294" w:rsidP="007A5492">
      <w:pPr>
        <w:spacing w:after="0" w:line="360" w:lineRule="auto"/>
        <w:jc w:val="right"/>
        <w:rPr>
          <w:sz w:val="28"/>
          <w:szCs w:val="28"/>
        </w:rPr>
      </w:pPr>
      <w:r w:rsidRPr="00724EA9">
        <w:rPr>
          <w:sz w:val="28"/>
          <w:szCs w:val="28"/>
        </w:rPr>
        <w:t>Миронова Виктория Сергеевна</w:t>
      </w:r>
      <w:r>
        <w:rPr>
          <w:sz w:val="28"/>
          <w:szCs w:val="28"/>
        </w:rPr>
        <w:t>, магистрант</w:t>
      </w:r>
    </w:p>
    <w:p w:rsidR="00B03294" w:rsidRPr="00105DCB" w:rsidRDefault="00B03294" w:rsidP="007A5492">
      <w:pPr>
        <w:spacing w:after="0" w:line="360" w:lineRule="auto"/>
        <w:ind w:firstLine="567"/>
        <w:contextualSpacing/>
        <w:jc w:val="right"/>
        <w:rPr>
          <w:rFonts w:eastAsia="Times New Roman"/>
          <w:sz w:val="28"/>
          <w:szCs w:val="28"/>
        </w:rPr>
      </w:pPr>
      <w:r w:rsidRPr="00105DCB">
        <w:rPr>
          <w:rFonts w:eastAsia="Times New Roman"/>
          <w:sz w:val="28"/>
          <w:szCs w:val="28"/>
        </w:rPr>
        <w:t>Санкт-Петербургский политехнический университет Петра Великого</w:t>
      </w:r>
    </w:p>
    <w:p w:rsidR="00B03294" w:rsidRDefault="00B03294" w:rsidP="007A5492">
      <w:pPr>
        <w:spacing w:after="0" w:line="360" w:lineRule="auto"/>
        <w:ind w:firstLine="567"/>
        <w:contextualSpacing/>
        <w:jc w:val="right"/>
        <w:rPr>
          <w:rFonts w:eastAsia="Times New Roman"/>
          <w:sz w:val="28"/>
          <w:szCs w:val="28"/>
          <w:lang w:val="en-US"/>
        </w:rPr>
      </w:pPr>
      <w:r w:rsidRPr="00105DCB">
        <w:rPr>
          <w:rFonts w:eastAsia="Times New Roman"/>
          <w:sz w:val="28"/>
          <w:szCs w:val="28"/>
        </w:rPr>
        <w:t xml:space="preserve">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          </w:t>
      </w:r>
      <w:r w:rsidRPr="00105DCB">
        <w:rPr>
          <w:rFonts w:eastAsia="Times New Roman"/>
          <w:sz w:val="28"/>
          <w:szCs w:val="28"/>
        </w:rPr>
        <w:t>г.</w:t>
      </w:r>
      <w:r>
        <w:rPr>
          <w:rFonts w:eastAsia="Times New Roman"/>
          <w:sz w:val="28"/>
          <w:szCs w:val="28"/>
        </w:rPr>
        <w:t xml:space="preserve"> </w:t>
      </w:r>
      <w:r w:rsidRPr="00105DCB">
        <w:rPr>
          <w:rFonts w:eastAsia="Times New Roman"/>
          <w:sz w:val="28"/>
          <w:szCs w:val="28"/>
        </w:rPr>
        <w:t>Санкт-Петербург</w:t>
      </w:r>
    </w:p>
    <w:p w:rsidR="00B03294" w:rsidRDefault="00B03294" w:rsidP="007A5492">
      <w:pPr>
        <w:spacing w:after="0"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7A5492">
        <w:rPr>
          <w:rFonts w:eastAsia="Times New Roman"/>
          <w:b/>
          <w:sz w:val="28"/>
          <w:szCs w:val="28"/>
        </w:rPr>
        <w:t>Аннотация.</w:t>
      </w:r>
      <w:r>
        <w:rPr>
          <w:rFonts w:eastAsia="Times New Roman"/>
          <w:sz w:val="28"/>
          <w:szCs w:val="28"/>
        </w:rPr>
        <w:t xml:space="preserve"> </w:t>
      </w:r>
      <w:r w:rsidRPr="00B03294">
        <w:rPr>
          <w:rFonts w:eastAsia="Times New Roman"/>
          <w:sz w:val="28"/>
          <w:szCs w:val="28"/>
        </w:rPr>
        <w:t>В данной</w:t>
      </w:r>
      <w:r>
        <w:rPr>
          <w:rFonts w:eastAsia="Times New Roman"/>
          <w:sz w:val="28"/>
          <w:szCs w:val="28"/>
        </w:rPr>
        <w:t xml:space="preserve"> с</w:t>
      </w:r>
      <w:r w:rsidRPr="00B03294">
        <w:rPr>
          <w:rFonts w:eastAsia="Times New Roman"/>
          <w:sz w:val="28"/>
          <w:szCs w:val="28"/>
        </w:rPr>
        <w:t>татье</w:t>
      </w:r>
      <w:r>
        <w:rPr>
          <w:rFonts w:eastAsia="Times New Roman"/>
          <w:sz w:val="28"/>
          <w:szCs w:val="28"/>
        </w:rPr>
        <w:t xml:space="preserve"> </w:t>
      </w:r>
      <w:r w:rsidR="007A5492">
        <w:rPr>
          <w:rFonts w:eastAsia="Times New Roman"/>
          <w:sz w:val="28"/>
          <w:szCs w:val="28"/>
        </w:rPr>
        <w:t>представлена методика</w:t>
      </w:r>
      <w:r w:rsidRPr="00B03294">
        <w:rPr>
          <w:rFonts w:eastAsia="Times New Roman"/>
          <w:sz w:val="28"/>
          <w:szCs w:val="28"/>
        </w:rPr>
        <w:t xml:space="preserve"> скорингового</w:t>
      </w:r>
      <w:r>
        <w:rPr>
          <w:rFonts w:eastAsia="Times New Roman"/>
          <w:sz w:val="28"/>
          <w:szCs w:val="28"/>
        </w:rPr>
        <w:t xml:space="preserve"> </w:t>
      </w:r>
      <w:r w:rsidRPr="00B03294">
        <w:rPr>
          <w:rFonts w:eastAsia="Times New Roman"/>
          <w:sz w:val="28"/>
          <w:szCs w:val="28"/>
        </w:rPr>
        <w:t>анализа финансовой устойчи</w:t>
      </w:r>
      <w:r>
        <w:rPr>
          <w:rFonts w:eastAsia="Times New Roman"/>
          <w:sz w:val="28"/>
          <w:szCs w:val="28"/>
        </w:rPr>
        <w:t xml:space="preserve">вости </w:t>
      </w:r>
      <w:r w:rsidR="007A5492">
        <w:rPr>
          <w:rFonts w:eastAsia="Times New Roman"/>
          <w:sz w:val="28"/>
          <w:szCs w:val="28"/>
        </w:rPr>
        <w:t>промышленного</w:t>
      </w:r>
      <w:r>
        <w:rPr>
          <w:rFonts w:eastAsia="Times New Roman"/>
          <w:sz w:val="28"/>
          <w:szCs w:val="28"/>
        </w:rPr>
        <w:t xml:space="preserve"> пред</w:t>
      </w:r>
      <w:r w:rsidR="007A5492">
        <w:rPr>
          <w:rFonts w:eastAsia="Times New Roman"/>
          <w:sz w:val="28"/>
          <w:szCs w:val="28"/>
        </w:rPr>
        <w:t>приятия</w:t>
      </w:r>
      <w:r w:rsidRPr="00B03294">
        <w:rPr>
          <w:rFonts w:eastAsia="Times New Roman"/>
          <w:sz w:val="28"/>
          <w:szCs w:val="28"/>
        </w:rPr>
        <w:t xml:space="preserve">, </w:t>
      </w:r>
      <w:r w:rsidR="007A5492">
        <w:rPr>
          <w:rFonts w:eastAsia="Times New Roman"/>
          <w:sz w:val="28"/>
          <w:szCs w:val="28"/>
        </w:rPr>
        <w:t xml:space="preserve">где </w:t>
      </w:r>
      <w:r w:rsidRPr="00B03294">
        <w:rPr>
          <w:rFonts w:eastAsia="Times New Roman"/>
          <w:sz w:val="28"/>
          <w:szCs w:val="28"/>
        </w:rPr>
        <w:t>информационной осн</w:t>
      </w:r>
      <w:r>
        <w:rPr>
          <w:rFonts w:eastAsia="Times New Roman"/>
          <w:sz w:val="28"/>
          <w:szCs w:val="28"/>
        </w:rPr>
        <w:t xml:space="preserve">овой </w:t>
      </w:r>
      <w:r w:rsidR="007A5492">
        <w:rPr>
          <w:rFonts w:eastAsia="Times New Roman"/>
          <w:sz w:val="28"/>
          <w:szCs w:val="28"/>
        </w:rPr>
        <w:t>стали</w:t>
      </w:r>
      <w:r>
        <w:rPr>
          <w:rFonts w:eastAsia="Times New Roman"/>
          <w:sz w:val="28"/>
          <w:szCs w:val="28"/>
        </w:rPr>
        <w:t xml:space="preserve"> дан</w:t>
      </w:r>
      <w:r w:rsidRPr="00B03294">
        <w:rPr>
          <w:rFonts w:eastAsia="Times New Roman"/>
          <w:sz w:val="28"/>
          <w:szCs w:val="28"/>
        </w:rPr>
        <w:t xml:space="preserve">ные </w:t>
      </w:r>
      <w:r w:rsidR="007A5492">
        <w:rPr>
          <w:rFonts w:eastAsia="Times New Roman"/>
          <w:sz w:val="28"/>
          <w:szCs w:val="28"/>
        </w:rPr>
        <w:t>годовой</w:t>
      </w:r>
      <w:r w:rsidRPr="00B03294">
        <w:rPr>
          <w:rFonts w:eastAsia="Times New Roman"/>
          <w:sz w:val="28"/>
          <w:szCs w:val="28"/>
        </w:rPr>
        <w:t xml:space="preserve"> бухгалтерской отч</w:t>
      </w:r>
      <w:r w:rsidR="007A5492">
        <w:rPr>
          <w:rFonts w:eastAsia="Times New Roman"/>
          <w:sz w:val="28"/>
          <w:szCs w:val="28"/>
        </w:rPr>
        <w:t>етности</w:t>
      </w:r>
      <w:r w:rsidRPr="00B03294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B03294">
        <w:rPr>
          <w:rFonts w:eastAsia="Times New Roman"/>
          <w:sz w:val="28"/>
          <w:szCs w:val="28"/>
        </w:rPr>
        <w:t>Полученные результаты могу</w:t>
      </w:r>
      <w:r>
        <w:rPr>
          <w:rFonts w:eastAsia="Times New Roman"/>
          <w:sz w:val="28"/>
          <w:szCs w:val="28"/>
        </w:rPr>
        <w:t xml:space="preserve">т быть использованы </w:t>
      </w:r>
      <w:r w:rsidR="007A5492">
        <w:rPr>
          <w:rFonts w:eastAsia="Times New Roman"/>
          <w:sz w:val="28"/>
          <w:szCs w:val="28"/>
        </w:rPr>
        <w:t xml:space="preserve">инвесторами, кредиторами, </w:t>
      </w:r>
      <w:r w:rsidRPr="00B03294">
        <w:rPr>
          <w:rFonts w:eastAsia="Times New Roman"/>
          <w:sz w:val="28"/>
          <w:szCs w:val="28"/>
        </w:rPr>
        <w:t>для целей</w:t>
      </w:r>
      <w:r>
        <w:rPr>
          <w:rFonts w:eastAsia="Times New Roman"/>
          <w:sz w:val="28"/>
          <w:szCs w:val="28"/>
        </w:rPr>
        <w:t xml:space="preserve"> </w:t>
      </w:r>
      <w:r w:rsidRPr="00B03294">
        <w:rPr>
          <w:rFonts w:eastAsia="Times New Roman"/>
          <w:sz w:val="28"/>
          <w:szCs w:val="28"/>
        </w:rPr>
        <w:t>составления оценочных суждений об актуальном</w:t>
      </w:r>
      <w:r>
        <w:rPr>
          <w:rFonts w:eastAsia="Times New Roman"/>
          <w:sz w:val="28"/>
          <w:szCs w:val="28"/>
        </w:rPr>
        <w:t xml:space="preserve"> </w:t>
      </w:r>
      <w:r w:rsidRPr="00B03294">
        <w:rPr>
          <w:rFonts w:eastAsia="Times New Roman"/>
          <w:sz w:val="28"/>
          <w:szCs w:val="28"/>
        </w:rPr>
        <w:t xml:space="preserve">уровне финансовой устойчивости </w:t>
      </w:r>
      <w:r w:rsidR="007A5492">
        <w:rPr>
          <w:rFonts w:eastAsia="Times New Roman"/>
          <w:sz w:val="28"/>
          <w:szCs w:val="28"/>
        </w:rPr>
        <w:t>предприятия</w:t>
      </w:r>
      <w:r w:rsidRPr="00B03294">
        <w:rPr>
          <w:rFonts w:eastAsia="Times New Roman"/>
          <w:sz w:val="28"/>
          <w:szCs w:val="28"/>
        </w:rPr>
        <w:t>.</w:t>
      </w:r>
    </w:p>
    <w:p w:rsidR="007A5492" w:rsidRPr="00F67528" w:rsidRDefault="007A5492" w:rsidP="007A5492">
      <w:pPr>
        <w:spacing w:after="0" w:line="360" w:lineRule="auto"/>
        <w:ind w:firstLine="709"/>
        <w:contextualSpacing/>
        <w:jc w:val="both"/>
        <w:rPr>
          <w:rFonts w:eastAsia="Times New Roman"/>
          <w:sz w:val="28"/>
          <w:szCs w:val="28"/>
        </w:rPr>
      </w:pPr>
      <w:r w:rsidRPr="00724EA9">
        <w:rPr>
          <w:b/>
          <w:sz w:val="28"/>
          <w:szCs w:val="28"/>
        </w:rPr>
        <w:t>Ключевые слова:</w:t>
      </w:r>
      <w:r w:rsidR="00F67528">
        <w:rPr>
          <w:b/>
          <w:sz w:val="28"/>
          <w:szCs w:val="28"/>
        </w:rPr>
        <w:t xml:space="preserve"> </w:t>
      </w:r>
      <w:r w:rsidR="00F67528" w:rsidRPr="00F67528">
        <w:rPr>
          <w:sz w:val="28"/>
          <w:szCs w:val="28"/>
        </w:rPr>
        <w:t xml:space="preserve">бальная методика оценки финансовой устойчивости, </w:t>
      </w:r>
      <w:r w:rsidR="0065735C" w:rsidRPr="00F67528">
        <w:rPr>
          <w:sz w:val="28"/>
          <w:szCs w:val="28"/>
        </w:rPr>
        <w:t xml:space="preserve"> </w:t>
      </w:r>
      <w:proofErr w:type="spellStart"/>
      <w:r w:rsidR="0065735C" w:rsidRPr="00F67528">
        <w:rPr>
          <w:sz w:val="28"/>
          <w:szCs w:val="28"/>
        </w:rPr>
        <w:t>скоринговая</w:t>
      </w:r>
      <w:proofErr w:type="spellEnd"/>
      <w:r w:rsidR="0065735C" w:rsidRPr="00F67528">
        <w:rPr>
          <w:sz w:val="28"/>
          <w:szCs w:val="28"/>
        </w:rPr>
        <w:t xml:space="preserve"> модель, </w:t>
      </w:r>
      <w:r w:rsidR="00F67528">
        <w:rPr>
          <w:sz w:val="28"/>
          <w:szCs w:val="28"/>
        </w:rPr>
        <w:t xml:space="preserve">промышленное предприятие, </w:t>
      </w:r>
      <w:r w:rsidR="0065735C" w:rsidRPr="00F67528">
        <w:rPr>
          <w:sz w:val="28"/>
          <w:szCs w:val="28"/>
        </w:rPr>
        <w:t>финансовая устойчивость, финансовые показатели</w:t>
      </w:r>
      <w:r w:rsidR="00F67528">
        <w:rPr>
          <w:sz w:val="28"/>
          <w:szCs w:val="28"/>
        </w:rPr>
        <w:t>.</w:t>
      </w:r>
    </w:p>
    <w:p w:rsidR="00765A00" w:rsidRDefault="007A5492" w:rsidP="00765A00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 сегодняшний день, существует немало методик определения финансовой устойчивости.  Методика с применением скорингового анализа</w:t>
      </w:r>
      <w:r w:rsidR="00765A00">
        <w:rPr>
          <w:sz w:val="28"/>
          <w:szCs w:val="28"/>
        </w:rPr>
        <w:t xml:space="preserve"> является одной из самых популярных. Впервые была предложена </w:t>
      </w:r>
      <w:r w:rsidR="00A9382E" w:rsidRPr="00A9382E">
        <w:rPr>
          <w:sz w:val="28"/>
          <w:szCs w:val="28"/>
        </w:rPr>
        <w:t>америк</w:t>
      </w:r>
      <w:r w:rsidR="0065735C">
        <w:rPr>
          <w:sz w:val="28"/>
          <w:szCs w:val="28"/>
        </w:rPr>
        <w:t xml:space="preserve">анским экономистом Д. </w:t>
      </w:r>
      <w:proofErr w:type="spellStart"/>
      <w:r w:rsidR="0065735C">
        <w:rPr>
          <w:sz w:val="28"/>
          <w:szCs w:val="28"/>
        </w:rPr>
        <w:t>Дюраном</w:t>
      </w:r>
      <w:proofErr w:type="spellEnd"/>
      <w:r w:rsidR="0065735C">
        <w:rPr>
          <w:sz w:val="28"/>
          <w:szCs w:val="28"/>
        </w:rPr>
        <w:t xml:space="preserve"> в</w:t>
      </w:r>
      <w:r w:rsidR="00A9382E" w:rsidRPr="00A9382E">
        <w:rPr>
          <w:sz w:val="28"/>
          <w:szCs w:val="28"/>
        </w:rPr>
        <w:t xml:space="preserve">начале 1940-х гг. </w:t>
      </w:r>
    </w:p>
    <w:p w:rsidR="0065735C" w:rsidRDefault="00A9382E" w:rsidP="00765A00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A9382E">
        <w:rPr>
          <w:sz w:val="28"/>
          <w:szCs w:val="28"/>
        </w:rPr>
        <w:t>Сущность методики заключается</w:t>
      </w:r>
      <w:r w:rsidR="00765A00">
        <w:rPr>
          <w:sz w:val="28"/>
          <w:szCs w:val="28"/>
        </w:rPr>
        <w:t xml:space="preserve"> в том, чтобы выявить принадлежность организации к одному из 5 классов по степени финансовой устойчивости, для этого производится расчет различных фин</w:t>
      </w:r>
      <w:r w:rsidR="0065735C">
        <w:rPr>
          <w:sz w:val="28"/>
          <w:szCs w:val="28"/>
        </w:rPr>
        <w:t>ансовых показателей и присваиваются</w:t>
      </w:r>
      <w:r w:rsidR="00765A00">
        <w:rPr>
          <w:sz w:val="28"/>
          <w:szCs w:val="28"/>
        </w:rPr>
        <w:t xml:space="preserve"> каждому</w:t>
      </w:r>
      <w:r w:rsidR="0065735C">
        <w:rPr>
          <w:sz w:val="28"/>
          <w:szCs w:val="28"/>
        </w:rPr>
        <w:t xml:space="preserve"> из них определенные баллы </w:t>
      </w:r>
      <w:r w:rsidRPr="00A9382E">
        <w:rPr>
          <w:sz w:val="28"/>
          <w:szCs w:val="28"/>
        </w:rPr>
        <w:t xml:space="preserve">на основе экспертных оценок. </w:t>
      </w:r>
    </w:p>
    <w:p w:rsidR="0065735C" w:rsidRDefault="0065735C" w:rsidP="0065735C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65735C">
        <w:rPr>
          <w:sz w:val="28"/>
          <w:szCs w:val="28"/>
        </w:rPr>
        <w:t>Рациональност</w:t>
      </w:r>
      <w:r>
        <w:rPr>
          <w:sz w:val="28"/>
          <w:szCs w:val="28"/>
        </w:rPr>
        <w:t xml:space="preserve">ь выбора </w:t>
      </w:r>
      <w:proofErr w:type="spellStart"/>
      <w:r>
        <w:rPr>
          <w:sz w:val="28"/>
          <w:szCs w:val="28"/>
        </w:rPr>
        <w:t>скоринговой</w:t>
      </w:r>
      <w:proofErr w:type="spellEnd"/>
      <w:r>
        <w:rPr>
          <w:sz w:val="28"/>
          <w:szCs w:val="28"/>
        </w:rPr>
        <w:t xml:space="preserve"> модели  в данном случае опреде</w:t>
      </w:r>
      <w:r w:rsidRPr="0065735C">
        <w:rPr>
          <w:sz w:val="28"/>
          <w:szCs w:val="28"/>
        </w:rPr>
        <w:t>ляется</w:t>
      </w:r>
      <w:r w:rsidR="007C030B">
        <w:rPr>
          <w:sz w:val="28"/>
          <w:szCs w:val="28"/>
        </w:rPr>
        <w:t xml:space="preserve"> </w:t>
      </w:r>
      <w:r w:rsidR="007C030B" w:rsidRPr="00A9382E">
        <w:rPr>
          <w:sz w:val="28"/>
          <w:szCs w:val="28"/>
        </w:rPr>
        <w:t>[</w:t>
      </w:r>
      <w:r w:rsidR="007C030B">
        <w:rPr>
          <w:sz w:val="28"/>
          <w:szCs w:val="28"/>
        </w:rPr>
        <w:t>1, с.10</w:t>
      </w:r>
      <w:r w:rsidR="007C030B" w:rsidRPr="00A9382E">
        <w:rPr>
          <w:sz w:val="28"/>
          <w:szCs w:val="28"/>
        </w:rPr>
        <w:t>].</w:t>
      </w:r>
      <w:r w:rsidRPr="0065735C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65735C" w:rsidRDefault="0065735C" w:rsidP="0065735C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67528">
        <w:rPr>
          <w:sz w:val="28"/>
          <w:szCs w:val="28"/>
        </w:rPr>
        <w:t>минимальное количество</w:t>
      </w:r>
      <w:r>
        <w:rPr>
          <w:sz w:val="28"/>
          <w:szCs w:val="28"/>
        </w:rPr>
        <w:t xml:space="preserve"> показателей при макси</w:t>
      </w:r>
      <w:r w:rsidRPr="0065735C">
        <w:rPr>
          <w:sz w:val="28"/>
          <w:szCs w:val="28"/>
        </w:rPr>
        <w:t>мальной информа</w:t>
      </w:r>
      <w:r w:rsidR="00F67528">
        <w:rPr>
          <w:sz w:val="28"/>
          <w:szCs w:val="28"/>
        </w:rPr>
        <w:t>тивности</w:t>
      </w:r>
      <w:r w:rsidRPr="0065735C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65735C" w:rsidRDefault="0065735C" w:rsidP="0065735C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F67528">
        <w:rPr>
          <w:sz w:val="28"/>
          <w:szCs w:val="28"/>
        </w:rPr>
        <w:t xml:space="preserve">информационная база </w:t>
      </w:r>
      <w:r>
        <w:rPr>
          <w:sz w:val="28"/>
          <w:szCs w:val="28"/>
        </w:rPr>
        <w:t xml:space="preserve">для расчета </w:t>
      </w:r>
      <w:r w:rsidR="00F67528">
        <w:rPr>
          <w:sz w:val="28"/>
          <w:szCs w:val="28"/>
        </w:rPr>
        <w:t xml:space="preserve">финансовых </w:t>
      </w:r>
      <w:r>
        <w:rPr>
          <w:sz w:val="28"/>
          <w:szCs w:val="28"/>
        </w:rPr>
        <w:t xml:space="preserve">показателей </w:t>
      </w:r>
      <w:proofErr w:type="spellStart"/>
      <w:r w:rsidR="00F67528">
        <w:rPr>
          <w:sz w:val="28"/>
          <w:szCs w:val="28"/>
        </w:rPr>
        <w:t>скоринговой</w:t>
      </w:r>
      <w:proofErr w:type="spellEnd"/>
      <w:r w:rsidR="00F67528">
        <w:rPr>
          <w:sz w:val="28"/>
          <w:szCs w:val="28"/>
        </w:rPr>
        <w:t xml:space="preserve"> </w:t>
      </w:r>
      <w:r>
        <w:rPr>
          <w:sz w:val="28"/>
          <w:szCs w:val="28"/>
        </w:rPr>
        <w:t>мо</w:t>
      </w:r>
      <w:r w:rsidR="00F67528">
        <w:rPr>
          <w:sz w:val="28"/>
          <w:szCs w:val="28"/>
        </w:rPr>
        <w:t xml:space="preserve">дели - </w:t>
      </w:r>
      <w:r w:rsidRPr="0065735C">
        <w:rPr>
          <w:sz w:val="28"/>
          <w:szCs w:val="28"/>
        </w:rPr>
        <w:t xml:space="preserve"> пуб</w:t>
      </w:r>
      <w:r w:rsidR="00F67528">
        <w:rPr>
          <w:sz w:val="28"/>
          <w:szCs w:val="28"/>
        </w:rPr>
        <w:t>личная бухгалтерская отчетность.</w:t>
      </w:r>
    </w:p>
    <w:p w:rsidR="0065735C" w:rsidRDefault="0065735C" w:rsidP="00765A00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A9382E" w:rsidRPr="00A9382E" w:rsidRDefault="00A9382E" w:rsidP="007C030B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  <w:r w:rsidRPr="00A9382E">
        <w:rPr>
          <w:sz w:val="28"/>
          <w:szCs w:val="28"/>
        </w:rPr>
        <w:lastRenderedPageBreak/>
        <w:t xml:space="preserve">Рассмотрим простую </w:t>
      </w:r>
      <w:proofErr w:type="spellStart"/>
      <w:r w:rsidRPr="00A9382E">
        <w:rPr>
          <w:sz w:val="28"/>
          <w:szCs w:val="28"/>
        </w:rPr>
        <w:t>скоринговую</w:t>
      </w:r>
      <w:proofErr w:type="spellEnd"/>
      <w:r w:rsidRPr="00A9382E">
        <w:rPr>
          <w:sz w:val="28"/>
          <w:szCs w:val="28"/>
        </w:rPr>
        <w:t xml:space="preserve"> модель Г.В. С</w:t>
      </w:r>
      <w:r w:rsidRPr="00A9382E">
        <w:rPr>
          <w:sz w:val="28"/>
          <w:szCs w:val="28"/>
        </w:rPr>
        <w:t>а</w:t>
      </w:r>
      <w:r w:rsidRPr="00A9382E">
        <w:rPr>
          <w:sz w:val="28"/>
          <w:szCs w:val="28"/>
        </w:rPr>
        <w:t>вицкой с тремя балансовы</w:t>
      </w:r>
      <w:r w:rsidR="0065735C">
        <w:rPr>
          <w:sz w:val="28"/>
          <w:szCs w:val="28"/>
        </w:rPr>
        <w:t>ми показателями (таблица 1</w:t>
      </w:r>
      <w:r w:rsidRPr="00A9382E">
        <w:rPr>
          <w:sz w:val="28"/>
          <w:szCs w:val="28"/>
        </w:rPr>
        <w:t>) [2</w:t>
      </w:r>
      <w:r w:rsidR="007C030B">
        <w:rPr>
          <w:sz w:val="28"/>
          <w:szCs w:val="28"/>
        </w:rPr>
        <w:t>, с.420</w:t>
      </w:r>
      <w:r w:rsidRPr="00A9382E">
        <w:rPr>
          <w:sz w:val="28"/>
          <w:szCs w:val="28"/>
        </w:rPr>
        <w:t>].</w:t>
      </w:r>
    </w:p>
    <w:p w:rsidR="00A9382E" w:rsidRPr="00A9382E" w:rsidRDefault="00A9382E" w:rsidP="00A9382E">
      <w:pPr>
        <w:spacing w:after="120" w:line="240" w:lineRule="auto"/>
        <w:jc w:val="both"/>
        <w:rPr>
          <w:sz w:val="28"/>
          <w:szCs w:val="28"/>
        </w:rPr>
      </w:pPr>
      <w:r w:rsidRPr="00A9382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1</w:t>
      </w:r>
      <w:r w:rsidRPr="00A9382E">
        <w:rPr>
          <w:sz w:val="28"/>
          <w:szCs w:val="28"/>
        </w:rPr>
        <w:t xml:space="preserve"> - </w:t>
      </w:r>
      <w:proofErr w:type="spellStart"/>
      <w:r w:rsidRPr="00A9382E">
        <w:rPr>
          <w:sz w:val="28"/>
          <w:szCs w:val="28"/>
        </w:rPr>
        <w:t>Скоринговая</w:t>
      </w:r>
      <w:proofErr w:type="spellEnd"/>
      <w:r w:rsidR="007C030B">
        <w:rPr>
          <w:sz w:val="28"/>
          <w:szCs w:val="28"/>
        </w:rPr>
        <w:t xml:space="preserve"> модель с 3</w:t>
      </w:r>
      <w:r w:rsidRPr="00A9382E">
        <w:rPr>
          <w:sz w:val="28"/>
          <w:szCs w:val="28"/>
        </w:rPr>
        <w:t xml:space="preserve"> балансовыми </w:t>
      </w:r>
      <w:r w:rsidR="007C030B">
        <w:rPr>
          <w:sz w:val="28"/>
          <w:szCs w:val="28"/>
        </w:rPr>
        <w:t xml:space="preserve"> </w:t>
      </w:r>
      <w:r w:rsidRPr="00A9382E">
        <w:rPr>
          <w:sz w:val="28"/>
          <w:szCs w:val="28"/>
        </w:rPr>
        <w:t>показателями</w:t>
      </w:r>
    </w:p>
    <w:tbl>
      <w:tblPr>
        <w:tblStyle w:val="1"/>
        <w:tblW w:w="9498" w:type="dxa"/>
        <w:tblInd w:w="108" w:type="dxa"/>
        <w:tblLayout w:type="fixed"/>
        <w:tblLook w:val="04A0"/>
      </w:tblPr>
      <w:tblGrid>
        <w:gridCol w:w="2127"/>
        <w:gridCol w:w="1559"/>
        <w:gridCol w:w="1276"/>
        <w:gridCol w:w="1417"/>
        <w:gridCol w:w="1559"/>
        <w:gridCol w:w="1560"/>
      </w:tblGrid>
      <w:tr w:rsidR="00A9382E" w:rsidRPr="00A9382E" w:rsidTr="00253B4C">
        <w:trPr>
          <w:trHeight w:val="468"/>
        </w:trPr>
        <w:tc>
          <w:tcPr>
            <w:tcW w:w="2127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Показатель</w:t>
            </w:r>
          </w:p>
        </w:tc>
        <w:tc>
          <w:tcPr>
            <w:tcW w:w="1559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класс</w:t>
            </w:r>
          </w:p>
        </w:tc>
        <w:tc>
          <w:tcPr>
            <w:tcW w:w="1276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класс</w:t>
            </w:r>
          </w:p>
        </w:tc>
        <w:tc>
          <w:tcPr>
            <w:tcW w:w="1417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 класс</w:t>
            </w:r>
          </w:p>
        </w:tc>
        <w:tc>
          <w:tcPr>
            <w:tcW w:w="1559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 класс</w:t>
            </w:r>
          </w:p>
        </w:tc>
        <w:tc>
          <w:tcPr>
            <w:tcW w:w="1560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 класс</w:t>
            </w:r>
          </w:p>
        </w:tc>
      </w:tr>
      <w:tr w:rsidR="00A9382E" w:rsidRPr="00A9382E" w:rsidTr="00253B4C">
        <w:trPr>
          <w:trHeight w:val="938"/>
        </w:trPr>
        <w:tc>
          <w:tcPr>
            <w:tcW w:w="2127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Рентабел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ность совокупного к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питала, %</w:t>
            </w:r>
          </w:p>
        </w:tc>
        <w:tc>
          <w:tcPr>
            <w:tcW w:w="1559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30 и в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ы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               (50 ба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лов)</w:t>
            </w:r>
          </w:p>
        </w:tc>
        <w:tc>
          <w:tcPr>
            <w:tcW w:w="1276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29.9-20 (49.9-35 баллов)</w:t>
            </w:r>
          </w:p>
        </w:tc>
        <w:tc>
          <w:tcPr>
            <w:tcW w:w="1417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19.9-10  (34.9-20 баллов)</w:t>
            </w:r>
          </w:p>
        </w:tc>
        <w:tc>
          <w:tcPr>
            <w:tcW w:w="1559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9.9-1 (19.9-5 баллов)</w:t>
            </w:r>
          </w:p>
        </w:tc>
        <w:tc>
          <w:tcPr>
            <w:tcW w:w="1560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Меньше 1                 (0 ба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лов)</w:t>
            </w:r>
          </w:p>
        </w:tc>
      </w:tr>
      <w:tr w:rsidR="00A9382E" w:rsidRPr="00A9382E" w:rsidTr="00253B4C">
        <w:trPr>
          <w:trHeight w:val="698"/>
        </w:trPr>
        <w:tc>
          <w:tcPr>
            <w:tcW w:w="2127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ент текущей ликвидности</w:t>
            </w:r>
          </w:p>
        </w:tc>
        <w:tc>
          <w:tcPr>
            <w:tcW w:w="1559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 и бол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ь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ше (30 баллов)</w:t>
            </w:r>
          </w:p>
        </w:tc>
        <w:tc>
          <w:tcPr>
            <w:tcW w:w="1276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1.99-1.7 (29.9-20 баллов)</w:t>
            </w:r>
          </w:p>
        </w:tc>
        <w:tc>
          <w:tcPr>
            <w:tcW w:w="1417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1.69-1.4 (19.9-10 баллов)</w:t>
            </w:r>
          </w:p>
        </w:tc>
        <w:tc>
          <w:tcPr>
            <w:tcW w:w="1559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1.39-1.1 (9.9-1)</w:t>
            </w:r>
          </w:p>
        </w:tc>
        <w:tc>
          <w:tcPr>
            <w:tcW w:w="1560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и ниже  (0 ба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лов)</w:t>
            </w:r>
          </w:p>
        </w:tc>
      </w:tr>
      <w:tr w:rsidR="00A9382E" w:rsidRPr="00A9382E" w:rsidTr="00253B4C">
        <w:trPr>
          <w:trHeight w:val="698"/>
        </w:trPr>
        <w:tc>
          <w:tcPr>
            <w:tcW w:w="2127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Коэффиц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ент финанс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вой незав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и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симости</w:t>
            </w:r>
          </w:p>
        </w:tc>
        <w:tc>
          <w:tcPr>
            <w:tcW w:w="1559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0.7 и больше (20 ба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лов)</w:t>
            </w:r>
          </w:p>
        </w:tc>
        <w:tc>
          <w:tcPr>
            <w:tcW w:w="1276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0.69-0.45  (19.9-10 баллов)</w:t>
            </w:r>
          </w:p>
        </w:tc>
        <w:tc>
          <w:tcPr>
            <w:tcW w:w="1417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0.44-0.3 (9.9-5 баллов)</w:t>
            </w:r>
          </w:p>
        </w:tc>
        <w:tc>
          <w:tcPr>
            <w:tcW w:w="1559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0.29-0.2            (4.9-1 баллов)</w:t>
            </w:r>
          </w:p>
        </w:tc>
        <w:tc>
          <w:tcPr>
            <w:tcW w:w="1560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Меньше 0.2                  (0 ба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лов)</w:t>
            </w:r>
          </w:p>
        </w:tc>
      </w:tr>
      <w:tr w:rsidR="00A9382E" w:rsidRPr="00A9382E" w:rsidTr="00253B4C">
        <w:trPr>
          <w:trHeight w:val="146"/>
        </w:trPr>
        <w:tc>
          <w:tcPr>
            <w:tcW w:w="2127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Границы классов</w:t>
            </w:r>
          </w:p>
        </w:tc>
        <w:tc>
          <w:tcPr>
            <w:tcW w:w="1559" w:type="dxa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100 ба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лов</w:t>
            </w:r>
          </w:p>
        </w:tc>
        <w:tc>
          <w:tcPr>
            <w:tcW w:w="1276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99-65</w:t>
            </w:r>
          </w:p>
        </w:tc>
        <w:tc>
          <w:tcPr>
            <w:tcW w:w="1417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64-35</w:t>
            </w:r>
          </w:p>
        </w:tc>
        <w:tc>
          <w:tcPr>
            <w:tcW w:w="1559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34-6</w:t>
            </w:r>
          </w:p>
        </w:tc>
        <w:tc>
          <w:tcPr>
            <w:tcW w:w="1560" w:type="dxa"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 ба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9382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лов</w:t>
            </w:r>
          </w:p>
        </w:tc>
      </w:tr>
    </w:tbl>
    <w:p w:rsidR="007C030B" w:rsidRDefault="007C030B"/>
    <w:p w:rsidR="007C030B" w:rsidRDefault="007C030B" w:rsidP="007C030B">
      <w:pPr>
        <w:spacing w:after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Далее, уже и</w:t>
      </w:r>
      <w:r w:rsidRPr="007C030B">
        <w:rPr>
          <w:sz w:val="28"/>
          <w:szCs w:val="28"/>
        </w:rPr>
        <w:t>сходя из количества набранных баллов</w:t>
      </w:r>
      <w:r>
        <w:rPr>
          <w:sz w:val="28"/>
          <w:szCs w:val="28"/>
        </w:rPr>
        <w:t>,</w:t>
      </w:r>
      <w:r w:rsidRPr="007C030B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организацию</w:t>
      </w:r>
      <w:r w:rsidRPr="007C030B">
        <w:rPr>
          <w:sz w:val="28"/>
          <w:szCs w:val="28"/>
        </w:rPr>
        <w:t xml:space="preserve"> </w:t>
      </w:r>
      <w:r>
        <w:rPr>
          <w:sz w:val="28"/>
          <w:szCs w:val="28"/>
        </w:rPr>
        <w:t>относят к одному из 5</w:t>
      </w:r>
      <w:r w:rsidRPr="007C030B">
        <w:rPr>
          <w:sz w:val="28"/>
          <w:szCs w:val="28"/>
        </w:rPr>
        <w:t xml:space="preserve"> классов,</w:t>
      </w:r>
      <w:r>
        <w:rPr>
          <w:sz w:val="28"/>
          <w:szCs w:val="28"/>
        </w:rPr>
        <w:t xml:space="preserve"> представленных в таблице 2</w:t>
      </w:r>
      <w:r w:rsidRPr="007C030B">
        <w:rPr>
          <w:sz w:val="28"/>
          <w:szCs w:val="28"/>
        </w:rPr>
        <w:t>.</w:t>
      </w:r>
    </w:p>
    <w:p w:rsidR="007C030B" w:rsidRPr="007C030B" w:rsidRDefault="007C030B" w:rsidP="007C030B">
      <w:pPr>
        <w:spacing w:after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Таблица 2- </w:t>
      </w:r>
      <w:proofErr w:type="spellStart"/>
      <w:r>
        <w:rPr>
          <w:sz w:val="28"/>
          <w:szCs w:val="28"/>
        </w:rPr>
        <w:t>Скоринговая</w:t>
      </w:r>
      <w:proofErr w:type="spellEnd"/>
      <w:r>
        <w:rPr>
          <w:sz w:val="28"/>
          <w:szCs w:val="28"/>
        </w:rPr>
        <w:t xml:space="preserve"> модель, соотнесение баллов по классам</w:t>
      </w:r>
    </w:p>
    <w:tbl>
      <w:tblPr>
        <w:tblStyle w:val="1"/>
        <w:tblW w:w="9498" w:type="dxa"/>
        <w:tblInd w:w="108" w:type="dxa"/>
        <w:tblLayout w:type="fixed"/>
        <w:tblLook w:val="04A0"/>
      </w:tblPr>
      <w:tblGrid>
        <w:gridCol w:w="1985"/>
        <w:gridCol w:w="7513"/>
      </w:tblGrid>
      <w:tr w:rsidR="00A9382E" w:rsidRPr="00A9382E" w:rsidTr="00253B4C">
        <w:trPr>
          <w:trHeight w:val="934"/>
        </w:trPr>
        <w:tc>
          <w:tcPr>
            <w:tcW w:w="1985" w:type="dxa"/>
            <w:hideMark/>
          </w:tcPr>
          <w:p w:rsidR="00A9382E" w:rsidRPr="00A9382E" w:rsidRDefault="00A9382E" w:rsidP="009B5466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 класс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&gt;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100 баллов</w:t>
            </w:r>
          </w:p>
        </w:tc>
        <w:tc>
          <w:tcPr>
            <w:tcW w:w="7513" w:type="dxa"/>
            <w:hideMark/>
          </w:tcPr>
          <w:p w:rsidR="00A9382E" w:rsidRPr="00A9382E" w:rsidRDefault="00A9382E" w:rsidP="007C030B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Предприятие с хорошей финансовой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устойчивостью</w:t>
            </w:r>
          </w:p>
        </w:tc>
      </w:tr>
      <w:tr w:rsidR="00A9382E" w:rsidRPr="00A9382E" w:rsidTr="00253B4C">
        <w:trPr>
          <w:trHeight w:val="878"/>
        </w:trPr>
        <w:tc>
          <w:tcPr>
            <w:tcW w:w="1985" w:type="dxa"/>
            <w:hideMark/>
          </w:tcPr>
          <w:p w:rsidR="00A9382E" w:rsidRPr="00A9382E" w:rsidRDefault="00A9382E" w:rsidP="009B5466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2 класс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65-99 баллов</w:t>
            </w:r>
          </w:p>
        </w:tc>
        <w:tc>
          <w:tcPr>
            <w:tcW w:w="7513" w:type="dxa"/>
            <w:hideMark/>
          </w:tcPr>
          <w:p w:rsidR="00A9382E" w:rsidRPr="00A9382E" w:rsidRDefault="00A9382E" w:rsidP="007C030B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Предприятие имеет небольшой риск 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неплатежеспособности</w:t>
            </w:r>
          </w:p>
        </w:tc>
      </w:tr>
      <w:tr w:rsidR="00A9382E" w:rsidRPr="00A9382E" w:rsidTr="00253B4C">
        <w:trPr>
          <w:trHeight w:val="709"/>
        </w:trPr>
        <w:tc>
          <w:tcPr>
            <w:tcW w:w="1985" w:type="dxa"/>
            <w:hideMark/>
          </w:tcPr>
          <w:p w:rsidR="00A9382E" w:rsidRPr="00A9382E" w:rsidRDefault="00A9382E" w:rsidP="009B5466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 класс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35-64 баллов</w:t>
            </w:r>
          </w:p>
        </w:tc>
        <w:tc>
          <w:tcPr>
            <w:tcW w:w="7513" w:type="dxa"/>
            <w:hideMark/>
          </w:tcPr>
          <w:p w:rsidR="00A9382E" w:rsidRPr="00A9382E" w:rsidRDefault="00A9382E" w:rsidP="007C030B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На предприятии 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есть определенные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финансовые проблемы</w:t>
            </w:r>
          </w:p>
        </w:tc>
      </w:tr>
      <w:tr w:rsidR="00A9382E" w:rsidRPr="00A9382E" w:rsidTr="00253B4C">
        <w:tc>
          <w:tcPr>
            <w:tcW w:w="1985" w:type="dxa"/>
            <w:hideMark/>
          </w:tcPr>
          <w:p w:rsidR="00A9382E" w:rsidRPr="00A9382E" w:rsidRDefault="00A9382E" w:rsidP="009B5466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4 класс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6-34 баллов</w:t>
            </w:r>
          </w:p>
        </w:tc>
        <w:tc>
          <w:tcPr>
            <w:tcW w:w="7513" w:type="dxa"/>
            <w:hideMark/>
          </w:tcPr>
          <w:p w:rsidR="00A9382E" w:rsidRPr="00A9382E" w:rsidRDefault="00A9382E" w:rsidP="007C030B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Предприятие имеет 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довольно высокий риск банкротства</w:t>
            </w:r>
            <w:proofErr w:type="gramStart"/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.</w:t>
            </w:r>
            <w:proofErr w:type="gramEnd"/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Инвесторы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рискую потерять вложенные средства</w:t>
            </w:r>
          </w:p>
        </w:tc>
      </w:tr>
      <w:tr w:rsidR="00A9382E" w:rsidRPr="00A9382E" w:rsidTr="00253B4C">
        <w:trPr>
          <w:trHeight w:val="638"/>
        </w:trPr>
        <w:tc>
          <w:tcPr>
            <w:tcW w:w="1985" w:type="dxa"/>
            <w:hideMark/>
          </w:tcPr>
          <w:p w:rsidR="00A9382E" w:rsidRPr="00A9382E" w:rsidRDefault="00A9382E" w:rsidP="009B5466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5 класс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0 ба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лов</w:t>
            </w:r>
          </w:p>
        </w:tc>
        <w:tc>
          <w:tcPr>
            <w:tcW w:w="7513" w:type="dxa"/>
            <w:hideMark/>
          </w:tcPr>
          <w:p w:rsidR="00A9382E" w:rsidRPr="00A9382E" w:rsidRDefault="00A9382E" w:rsidP="007C030B">
            <w:pPr>
              <w:spacing w:before="188" w:after="188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Предприятие 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 xml:space="preserve">финансово </w:t>
            </w:r>
            <w:r w:rsidRPr="00A9382E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н</w:t>
            </w:r>
            <w:r w:rsidR="007C030B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еустойчиво</w:t>
            </w:r>
          </w:p>
        </w:tc>
      </w:tr>
    </w:tbl>
    <w:p w:rsidR="00A9382E" w:rsidRPr="00A9382E" w:rsidRDefault="00A9382E" w:rsidP="00A9382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7C030B" w:rsidRDefault="007C030B" w:rsidP="00A9382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7C030B" w:rsidRDefault="007C030B" w:rsidP="00A9382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7C030B" w:rsidRDefault="007C030B" w:rsidP="00A9382E">
      <w:pPr>
        <w:spacing w:after="0" w:line="240" w:lineRule="auto"/>
        <w:ind w:firstLine="709"/>
        <w:contextualSpacing/>
        <w:jc w:val="both"/>
        <w:rPr>
          <w:sz w:val="28"/>
          <w:szCs w:val="28"/>
        </w:rPr>
      </w:pPr>
    </w:p>
    <w:p w:rsidR="00A9382E" w:rsidRDefault="000676E7" w:rsidP="00253B4C">
      <w:pPr>
        <w:spacing w:after="0" w:line="360" w:lineRule="auto"/>
        <w:ind w:firstLine="709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lastRenderedPageBreak/>
        <w:t xml:space="preserve">Рассчитав необходимые показатели, определим, </w:t>
      </w:r>
      <w:r w:rsidR="00A9382E" w:rsidRPr="00A9382E">
        <w:rPr>
          <w:sz w:val="28"/>
          <w:szCs w:val="28"/>
        </w:rPr>
        <w:t>к какому классу отн</w:t>
      </w:r>
      <w:r w:rsidR="00A9382E" w:rsidRPr="00A9382E">
        <w:rPr>
          <w:sz w:val="28"/>
          <w:szCs w:val="28"/>
        </w:rPr>
        <w:t>о</w:t>
      </w:r>
      <w:r w:rsidR="00A9382E" w:rsidRPr="00A9382E">
        <w:rPr>
          <w:sz w:val="28"/>
          <w:szCs w:val="28"/>
        </w:rPr>
        <w:t>сится предприятие</w:t>
      </w:r>
      <w:r w:rsidR="00A9382E">
        <w:rPr>
          <w:sz w:val="28"/>
          <w:szCs w:val="28"/>
        </w:rPr>
        <w:t xml:space="preserve"> </w:t>
      </w:r>
      <w:r w:rsidR="00A9382E">
        <w:rPr>
          <w:sz w:val="28"/>
          <w:szCs w:val="28"/>
          <w:lang w:val="en-US"/>
        </w:rPr>
        <w:t>N</w:t>
      </w:r>
      <w:r w:rsidR="007C030B">
        <w:rPr>
          <w:sz w:val="28"/>
          <w:szCs w:val="28"/>
        </w:rPr>
        <w:t xml:space="preserve"> (таблица 3</w:t>
      </w:r>
      <w:r w:rsidR="00A9382E" w:rsidRPr="00A9382E">
        <w:rPr>
          <w:sz w:val="28"/>
          <w:szCs w:val="28"/>
        </w:rPr>
        <w:t xml:space="preserve">). </w:t>
      </w:r>
    </w:p>
    <w:p w:rsidR="00A9382E" w:rsidRPr="00A9382E" w:rsidRDefault="00A9382E" w:rsidP="00A9382E">
      <w:pPr>
        <w:spacing w:after="0" w:line="24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A9382E" w:rsidRPr="000676E7" w:rsidRDefault="00A9382E" w:rsidP="00A9382E">
      <w:pPr>
        <w:spacing w:after="120" w:line="240" w:lineRule="auto"/>
        <w:jc w:val="both"/>
        <w:rPr>
          <w:sz w:val="28"/>
          <w:szCs w:val="28"/>
        </w:rPr>
      </w:pPr>
      <w:r w:rsidRPr="00A9382E">
        <w:rPr>
          <w:sz w:val="28"/>
          <w:szCs w:val="28"/>
        </w:rPr>
        <w:t xml:space="preserve">Таблица </w:t>
      </w:r>
      <w:r w:rsidR="000676E7">
        <w:rPr>
          <w:sz w:val="28"/>
          <w:szCs w:val="28"/>
        </w:rPr>
        <w:t>3</w:t>
      </w:r>
      <w:r w:rsidRPr="00A9382E">
        <w:rPr>
          <w:sz w:val="28"/>
          <w:szCs w:val="28"/>
        </w:rPr>
        <w:t xml:space="preserve"> – Обобщающая оценка финансовой устойчивости                      предприятия</w:t>
      </w:r>
      <w:r w:rsidR="000676E7">
        <w:rPr>
          <w:sz w:val="28"/>
          <w:szCs w:val="28"/>
        </w:rPr>
        <w:t xml:space="preserve"> </w:t>
      </w:r>
      <w:r w:rsidR="000676E7">
        <w:rPr>
          <w:sz w:val="28"/>
          <w:szCs w:val="28"/>
          <w:lang w:val="en-US"/>
        </w:rPr>
        <w:t>N</w:t>
      </w:r>
    </w:p>
    <w:tbl>
      <w:tblPr>
        <w:tblStyle w:val="1"/>
        <w:tblW w:w="4808" w:type="pct"/>
        <w:tblInd w:w="108" w:type="dxa"/>
        <w:tblLook w:val="04A0"/>
      </w:tblPr>
      <w:tblGrid>
        <w:gridCol w:w="1971"/>
        <w:gridCol w:w="1886"/>
        <w:gridCol w:w="1687"/>
        <w:gridCol w:w="1838"/>
        <w:gridCol w:w="2094"/>
      </w:tblGrid>
      <w:tr w:rsidR="00A9382E" w:rsidRPr="00A9382E" w:rsidTr="009B5466">
        <w:tc>
          <w:tcPr>
            <w:tcW w:w="1040" w:type="pct"/>
            <w:vMerge w:val="restar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Показатели устойчивости</w:t>
            </w:r>
          </w:p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финансового состояния</w:t>
            </w:r>
          </w:p>
        </w:tc>
        <w:tc>
          <w:tcPr>
            <w:tcW w:w="1885" w:type="pct"/>
            <w:gridSpan w:val="2"/>
            <w:hideMark/>
          </w:tcPr>
          <w:p w:rsidR="00A9382E" w:rsidRPr="00A9382E" w:rsidRDefault="00A9382E" w:rsidP="009B5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676E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075" w:type="pct"/>
            <w:gridSpan w:val="2"/>
            <w:hideMark/>
          </w:tcPr>
          <w:p w:rsidR="00A9382E" w:rsidRPr="00A9382E" w:rsidRDefault="00A9382E" w:rsidP="009B5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0676E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9382E" w:rsidRPr="00A9382E" w:rsidTr="009B5466">
        <w:trPr>
          <w:trHeight w:val="488"/>
        </w:trPr>
        <w:tc>
          <w:tcPr>
            <w:tcW w:w="1040" w:type="pct"/>
            <w:vMerge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5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</w:t>
            </w:r>
          </w:p>
        </w:tc>
        <w:tc>
          <w:tcPr>
            <w:tcW w:w="890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  <w:tc>
          <w:tcPr>
            <w:tcW w:w="970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фактическое значение</w:t>
            </w:r>
          </w:p>
        </w:tc>
        <w:tc>
          <w:tcPr>
            <w:tcW w:w="1105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A9382E" w:rsidRPr="00A9382E" w:rsidTr="009B5466">
        <w:tc>
          <w:tcPr>
            <w:tcW w:w="1040" w:type="pct"/>
            <w:hideMark/>
          </w:tcPr>
          <w:p w:rsidR="00A9382E" w:rsidRPr="00A9382E" w:rsidRDefault="00A9382E" w:rsidP="009B5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90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  <w:tc>
          <w:tcPr>
            <w:tcW w:w="970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,90</w:t>
            </w:r>
          </w:p>
        </w:tc>
        <w:tc>
          <w:tcPr>
            <w:tcW w:w="1105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</w:p>
        </w:tc>
      </w:tr>
      <w:tr w:rsidR="00A9382E" w:rsidRPr="00A9382E" w:rsidTr="009B5466">
        <w:tc>
          <w:tcPr>
            <w:tcW w:w="1040" w:type="pct"/>
            <w:hideMark/>
          </w:tcPr>
          <w:p w:rsidR="00A9382E" w:rsidRPr="00A9382E" w:rsidRDefault="00A9382E" w:rsidP="009B5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5" w:type="pct"/>
            <w:vAlign w:val="bottom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90" w:type="pct"/>
            <w:vAlign w:val="bottom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970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05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A9382E" w:rsidRPr="00A9382E" w:rsidTr="009B5466">
        <w:tc>
          <w:tcPr>
            <w:tcW w:w="1040" w:type="pct"/>
            <w:hideMark/>
          </w:tcPr>
          <w:p w:rsidR="00A9382E" w:rsidRPr="00A9382E" w:rsidRDefault="00A9382E" w:rsidP="009B5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5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,46</w:t>
            </w:r>
          </w:p>
        </w:tc>
        <w:tc>
          <w:tcPr>
            <w:tcW w:w="890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13,3</w:t>
            </w:r>
          </w:p>
        </w:tc>
        <w:tc>
          <w:tcPr>
            <w:tcW w:w="970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0,49</w:t>
            </w:r>
          </w:p>
        </w:tc>
        <w:tc>
          <w:tcPr>
            <w:tcW w:w="1105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14,1</w:t>
            </w:r>
          </w:p>
        </w:tc>
      </w:tr>
      <w:tr w:rsidR="00A9382E" w:rsidRPr="00A9382E" w:rsidTr="009B5466">
        <w:tc>
          <w:tcPr>
            <w:tcW w:w="1040" w:type="pct"/>
            <w:hideMark/>
          </w:tcPr>
          <w:p w:rsidR="00A9382E" w:rsidRPr="00A9382E" w:rsidRDefault="00A9382E" w:rsidP="009B546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9382E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995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0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70" w:type="pct"/>
            <w:hideMark/>
          </w:tcPr>
          <w:p w:rsidR="00A9382E" w:rsidRPr="00A9382E" w:rsidRDefault="00A9382E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5" w:type="pct"/>
            <w:hideMark/>
          </w:tcPr>
          <w:p w:rsidR="00A9382E" w:rsidRPr="00A9382E" w:rsidRDefault="000676E7" w:rsidP="009B54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</w:t>
            </w:r>
            <w:r w:rsidR="00A9382E" w:rsidRPr="00A9382E">
              <w:rPr>
                <w:rFonts w:ascii="Times New Roman" w:hAnsi="Times New Roman" w:cs="Times New Roman"/>
                <w:sz w:val="28"/>
                <w:szCs w:val="28"/>
              </w:rPr>
              <w:t>,4</w:t>
            </w:r>
          </w:p>
        </w:tc>
      </w:tr>
    </w:tbl>
    <w:p w:rsidR="00A9382E" w:rsidRPr="00A9382E" w:rsidRDefault="00A9382E" w:rsidP="00DF0865">
      <w:pPr>
        <w:spacing w:after="0" w:line="360" w:lineRule="auto"/>
        <w:ind w:firstLine="709"/>
        <w:contextualSpacing/>
        <w:jc w:val="both"/>
        <w:rPr>
          <w:sz w:val="28"/>
          <w:szCs w:val="28"/>
        </w:rPr>
      </w:pPr>
    </w:p>
    <w:p w:rsidR="00A9382E" w:rsidRDefault="00DF0865" w:rsidP="00DF0865">
      <w:pPr>
        <w:spacing w:after="0" w:line="360" w:lineRule="auto"/>
        <w:ind w:firstLine="709"/>
        <w:contextualSpacing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Так, исходя из представленных результатов, видно </w:t>
      </w:r>
      <w:r w:rsidR="00A9382E" w:rsidRPr="00A9382E">
        <w:rPr>
          <w:sz w:val="28"/>
          <w:szCs w:val="28"/>
        </w:rPr>
        <w:t xml:space="preserve">что </w:t>
      </w:r>
      <w:r>
        <w:rPr>
          <w:sz w:val="28"/>
          <w:szCs w:val="28"/>
        </w:rPr>
        <w:t>выбранное для исследования</w:t>
      </w:r>
      <w:r w:rsidR="00A9382E" w:rsidRPr="00A9382E">
        <w:rPr>
          <w:sz w:val="28"/>
          <w:szCs w:val="28"/>
        </w:rPr>
        <w:t xml:space="preserve"> предприятие</w:t>
      </w:r>
      <w:r>
        <w:rPr>
          <w:sz w:val="28"/>
          <w:szCs w:val="28"/>
        </w:rPr>
        <w:t xml:space="preserve">, на основе </w:t>
      </w:r>
      <w:proofErr w:type="spellStart"/>
      <w:r>
        <w:rPr>
          <w:sz w:val="28"/>
          <w:szCs w:val="28"/>
        </w:rPr>
        <w:t>скоринга</w:t>
      </w:r>
      <w:proofErr w:type="spellEnd"/>
      <w:r>
        <w:rPr>
          <w:sz w:val="28"/>
          <w:szCs w:val="28"/>
        </w:rPr>
        <w:t xml:space="preserve"> получило 53,4 балла на 2018 год, что на 0, 3 меньше, по сравнению с предшествующим годом</w:t>
      </w:r>
      <w:proofErr w:type="gramStart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Обращаясь к таблице 2, наблюдаем, что предприятие по уровню баллов относится</w:t>
      </w:r>
      <w:r w:rsidR="00A9382E" w:rsidRPr="00A9382E">
        <w:rPr>
          <w:sz w:val="28"/>
          <w:szCs w:val="28"/>
        </w:rPr>
        <w:t xml:space="preserve"> к 3 классу</w:t>
      </w:r>
      <w:r>
        <w:rPr>
          <w:sz w:val="28"/>
          <w:szCs w:val="28"/>
        </w:rPr>
        <w:t>(35-64).</w:t>
      </w:r>
      <w:r w:rsidR="00A9382E" w:rsidRPr="00A9382E">
        <w:rPr>
          <w:sz w:val="28"/>
          <w:szCs w:val="28"/>
        </w:rPr>
        <w:t xml:space="preserve"> </w:t>
      </w:r>
      <w:r>
        <w:rPr>
          <w:sz w:val="28"/>
          <w:szCs w:val="28"/>
        </w:rPr>
        <w:t>Ф</w:t>
      </w:r>
      <w:r w:rsidR="00A9382E" w:rsidRPr="00A9382E">
        <w:rPr>
          <w:sz w:val="28"/>
          <w:szCs w:val="28"/>
        </w:rPr>
        <w:t xml:space="preserve">инансовое состояние </w:t>
      </w:r>
      <w:r>
        <w:rPr>
          <w:sz w:val="28"/>
          <w:szCs w:val="28"/>
        </w:rPr>
        <w:t xml:space="preserve">предприятия </w:t>
      </w:r>
      <w:r w:rsidR="00A9382E" w:rsidRPr="00A9382E">
        <w:rPr>
          <w:sz w:val="28"/>
          <w:szCs w:val="28"/>
        </w:rPr>
        <w:t>можно</w:t>
      </w:r>
      <w:r>
        <w:rPr>
          <w:sz w:val="28"/>
          <w:szCs w:val="28"/>
        </w:rPr>
        <w:t xml:space="preserve"> оценить как удовлетворительное,</w:t>
      </w:r>
      <w:r w:rsidR="00A9382E" w:rsidRPr="00A9382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с нарушением финансо</w:t>
      </w:r>
      <w:r w:rsidRPr="000676E7">
        <w:rPr>
          <w:sz w:val="28"/>
          <w:szCs w:val="28"/>
          <w:lang w:val="en-US"/>
        </w:rPr>
        <w:t>вой дисциплины,</w:t>
      </w:r>
      <w:r>
        <w:rPr>
          <w:sz w:val="28"/>
          <w:szCs w:val="28"/>
          <w:lang w:val="en-US"/>
        </w:rPr>
        <w:t xml:space="preserve"> финан</w:t>
      </w:r>
      <w:r w:rsidRPr="000676E7">
        <w:rPr>
          <w:sz w:val="28"/>
          <w:szCs w:val="28"/>
          <w:lang w:val="en-US"/>
        </w:rPr>
        <w:t>сового плана</w:t>
      </w:r>
      <w:r>
        <w:rPr>
          <w:sz w:val="28"/>
          <w:szCs w:val="28"/>
        </w:rPr>
        <w:t>.</w:t>
      </w:r>
      <w:r w:rsidRPr="00A9382E">
        <w:rPr>
          <w:sz w:val="28"/>
          <w:szCs w:val="28"/>
        </w:rPr>
        <w:t xml:space="preserve"> </w:t>
      </w:r>
      <w:r w:rsidR="00A9382E" w:rsidRPr="00A9382E">
        <w:rPr>
          <w:sz w:val="28"/>
          <w:szCs w:val="28"/>
        </w:rPr>
        <w:t>Имеется слабость отдельных коэффициентов. Угрозы потери средств</w:t>
      </w:r>
      <w:r>
        <w:rPr>
          <w:sz w:val="28"/>
          <w:szCs w:val="28"/>
        </w:rPr>
        <w:t xml:space="preserve"> нет</w:t>
      </w:r>
      <w:r w:rsidR="00A9382E" w:rsidRPr="00A9382E">
        <w:rPr>
          <w:sz w:val="28"/>
          <w:szCs w:val="28"/>
        </w:rPr>
        <w:t xml:space="preserve">, но выполнение </w:t>
      </w:r>
      <w:r>
        <w:rPr>
          <w:sz w:val="28"/>
          <w:szCs w:val="28"/>
        </w:rPr>
        <w:t xml:space="preserve">текущих </w:t>
      </w:r>
      <w:r w:rsidR="00A9382E" w:rsidRPr="00A9382E">
        <w:rPr>
          <w:sz w:val="28"/>
          <w:szCs w:val="28"/>
        </w:rPr>
        <w:t>обязательств организацией в срок представляется сомнительным.</w:t>
      </w:r>
    </w:p>
    <w:p w:rsidR="00A9382E" w:rsidRDefault="00A9382E" w:rsidP="00A9382E">
      <w:pPr>
        <w:spacing w:after="0" w:line="24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A9382E" w:rsidRPr="00DF0865" w:rsidRDefault="00DF0865" w:rsidP="00DF0865">
      <w:pPr>
        <w:spacing w:after="0" w:line="360" w:lineRule="auto"/>
        <w:ind w:firstLine="709"/>
        <w:contextualSpacing/>
        <w:jc w:val="center"/>
        <w:rPr>
          <w:rFonts w:ascii="Georgia" w:hAnsi="Georgia"/>
          <w:b/>
          <w:color w:val="111111"/>
          <w:sz w:val="27"/>
          <w:szCs w:val="27"/>
          <w:shd w:val="clear" w:color="auto" w:fill="FFFFFF"/>
        </w:rPr>
      </w:pPr>
      <w:r w:rsidRPr="00EF5E27">
        <w:rPr>
          <w:rFonts w:ascii="Georgia" w:hAnsi="Georgia"/>
          <w:b/>
          <w:color w:val="111111"/>
          <w:sz w:val="27"/>
          <w:szCs w:val="27"/>
          <w:shd w:val="clear" w:color="auto" w:fill="FFFFFF"/>
        </w:rPr>
        <w:t>Список использованной литературы</w:t>
      </w:r>
    </w:p>
    <w:p w:rsidR="00A9382E" w:rsidRPr="00DF0865" w:rsidRDefault="00DF0865" w:rsidP="00DF0865">
      <w:pPr>
        <w:spacing w:after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67528" w:rsidRPr="00F67528">
        <w:rPr>
          <w:sz w:val="28"/>
          <w:szCs w:val="28"/>
          <w:lang w:val="en-US"/>
        </w:rPr>
        <w:t xml:space="preserve">Негашев Е.В. Проблемы логического обоснования методов анализа финансовой </w:t>
      </w:r>
      <w:r w:rsidRPr="00F67528">
        <w:rPr>
          <w:sz w:val="28"/>
          <w:szCs w:val="28"/>
          <w:lang w:val="en-US"/>
        </w:rPr>
        <w:t>устойчивости</w:t>
      </w:r>
      <w:r>
        <w:rPr>
          <w:sz w:val="28"/>
          <w:szCs w:val="28"/>
        </w:rPr>
        <w:t xml:space="preserve"> </w:t>
      </w:r>
      <w:r w:rsidRPr="00F67528">
        <w:rPr>
          <w:sz w:val="28"/>
          <w:szCs w:val="28"/>
          <w:lang w:val="en-US"/>
        </w:rPr>
        <w:t>организации</w:t>
      </w:r>
      <w:r w:rsidR="00F67528" w:rsidRPr="00F67528">
        <w:rPr>
          <w:sz w:val="28"/>
          <w:szCs w:val="28"/>
          <w:lang w:val="en-US"/>
        </w:rPr>
        <w:t>: монография. Москва: Русайнс, 2017</w:t>
      </w:r>
    </w:p>
    <w:p w:rsidR="00A9382E" w:rsidRDefault="00DF0865" w:rsidP="00DF0865">
      <w:pPr>
        <w:spacing w:after="0" w:line="360" w:lineRule="auto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</w:t>
      </w:r>
      <w:r w:rsidR="00A9382E" w:rsidRPr="00A9382E">
        <w:rPr>
          <w:color w:val="000000" w:themeColor="text1"/>
          <w:sz w:val="28"/>
          <w:szCs w:val="28"/>
        </w:rPr>
        <w:t xml:space="preserve">. </w:t>
      </w:r>
      <w:r>
        <w:rPr>
          <w:color w:val="000000" w:themeColor="text1"/>
          <w:sz w:val="28"/>
          <w:szCs w:val="28"/>
        </w:rPr>
        <w:t xml:space="preserve"> </w:t>
      </w:r>
      <w:r w:rsidR="00A9382E" w:rsidRPr="00A9382E">
        <w:rPr>
          <w:color w:val="000000" w:themeColor="text1"/>
          <w:sz w:val="28"/>
          <w:szCs w:val="28"/>
        </w:rPr>
        <w:t>Савицкая, Г.В. Анализ хозяйственной деятельности пре</w:t>
      </w:r>
      <w:r w:rsidR="00A9382E" w:rsidRPr="00A9382E">
        <w:rPr>
          <w:color w:val="000000" w:themeColor="text1"/>
          <w:sz w:val="28"/>
          <w:szCs w:val="28"/>
        </w:rPr>
        <w:t>д</w:t>
      </w:r>
      <w:r w:rsidR="00A9382E" w:rsidRPr="00A9382E">
        <w:rPr>
          <w:color w:val="000000" w:themeColor="text1"/>
          <w:sz w:val="28"/>
          <w:szCs w:val="28"/>
        </w:rPr>
        <w:t>приятия [Текст]: учебник / Г.В. Савицкая. - М.</w:t>
      </w:r>
      <w:proofErr w:type="gramStart"/>
      <w:r w:rsidR="00A9382E" w:rsidRPr="00A9382E">
        <w:rPr>
          <w:color w:val="000000" w:themeColor="text1"/>
          <w:sz w:val="28"/>
          <w:szCs w:val="28"/>
        </w:rPr>
        <w:t xml:space="preserve"> :</w:t>
      </w:r>
      <w:proofErr w:type="gramEnd"/>
      <w:r w:rsidR="00A9382E" w:rsidRPr="00A9382E">
        <w:rPr>
          <w:color w:val="000000" w:themeColor="text1"/>
          <w:sz w:val="28"/>
          <w:szCs w:val="28"/>
        </w:rPr>
        <w:t xml:space="preserve"> Новое знание, 2014. - 639с.</w:t>
      </w:r>
    </w:p>
    <w:p w:rsidR="00DF0865" w:rsidRDefault="00DF0865" w:rsidP="00DF0865">
      <w:pPr>
        <w:spacing w:after="0"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765074">
        <w:rPr>
          <w:sz w:val="28"/>
          <w:szCs w:val="28"/>
        </w:rPr>
        <w:t>Центр рас</w:t>
      </w:r>
      <w:r>
        <w:rPr>
          <w:sz w:val="28"/>
          <w:szCs w:val="28"/>
        </w:rPr>
        <w:t xml:space="preserve">крытия корпоративной информации. </w:t>
      </w:r>
      <w:r w:rsidRPr="00765074">
        <w:rPr>
          <w:sz w:val="28"/>
          <w:szCs w:val="28"/>
        </w:rPr>
        <w:t>[Электронный ресурс]. URL:</w:t>
      </w:r>
      <w:r>
        <w:rPr>
          <w:sz w:val="28"/>
          <w:szCs w:val="28"/>
        </w:rPr>
        <w:t>https://www.e-disclosure.ru</w:t>
      </w:r>
    </w:p>
    <w:p w:rsidR="00DF0865" w:rsidRDefault="00DF0865" w:rsidP="00A9382E">
      <w:pPr>
        <w:spacing w:after="0" w:line="240" w:lineRule="auto"/>
        <w:contextualSpacing/>
        <w:jc w:val="both"/>
        <w:rPr>
          <w:color w:val="000000" w:themeColor="text1"/>
          <w:sz w:val="28"/>
          <w:szCs w:val="28"/>
        </w:rPr>
      </w:pPr>
    </w:p>
    <w:p w:rsidR="00253B4C" w:rsidRPr="00A9382E" w:rsidRDefault="00253B4C" w:rsidP="00A9382E">
      <w:pPr>
        <w:spacing w:after="0" w:line="240" w:lineRule="auto"/>
        <w:contextualSpacing/>
        <w:jc w:val="both"/>
        <w:rPr>
          <w:color w:val="000000" w:themeColor="text1"/>
          <w:sz w:val="28"/>
          <w:szCs w:val="28"/>
        </w:rPr>
      </w:pPr>
    </w:p>
    <w:p w:rsidR="00A9382E" w:rsidRPr="00A9382E" w:rsidRDefault="00A9382E" w:rsidP="00A9382E">
      <w:pPr>
        <w:spacing w:after="0" w:line="240" w:lineRule="auto"/>
        <w:ind w:firstLine="709"/>
        <w:contextualSpacing/>
        <w:jc w:val="both"/>
        <w:rPr>
          <w:sz w:val="28"/>
          <w:szCs w:val="28"/>
          <w:lang w:val="en-US"/>
        </w:rPr>
      </w:pPr>
    </w:p>
    <w:p w:rsidR="00A9382E" w:rsidRPr="00253B4C" w:rsidRDefault="00253B4C" w:rsidP="00253B4C">
      <w:pPr>
        <w:spacing w:after="0" w:line="360" w:lineRule="auto"/>
        <w:jc w:val="righ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</w:t>
      </w:r>
      <w:r w:rsidRPr="00EF5E27">
        <w:rPr>
          <w:b/>
          <w:sz w:val="28"/>
          <w:szCs w:val="28"/>
        </w:rPr>
        <w:t xml:space="preserve">   © В.С.Миронова, 2019</w:t>
      </w:r>
    </w:p>
    <w:sectPr w:rsidR="00A9382E" w:rsidRPr="00253B4C" w:rsidSect="00253B4C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9382E"/>
    <w:rsid w:val="000676E7"/>
    <w:rsid w:val="002407D6"/>
    <w:rsid w:val="00253B4C"/>
    <w:rsid w:val="00516164"/>
    <w:rsid w:val="0065735C"/>
    <w:rsid w:val="00765A00"/>
    <w:rsid w:val="007A5492"/>
    <w:rsid w:val="007C030B"/>
    <w:rsid w:val="00A9382E"/>
    <w:rsid w:val="00B03294"/>
    <w:rsid w:val="00DF0865"/>
    <w:rsid w:val="00F67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7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uiPriority w:val="59"/>
    <w:rsid w:val="00A9382E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938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89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670</Words>
  <Characters>3824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2019-04-25T12:06:00Z</dcterms:created>
  <dcterms:modified xsi:type="dcterms:W3CDTF">2019-04-25T13:53:00Z</dcterms:modified>
</cp:coreProperties>
</file>