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A4D" w:rsidRPr="00A15967" w:rsidRDefault="00743A4D" w:rsidP="00743A4D">
      <w:pPr>
        <w:pStyle w:val="2"/>
      </w:pPr>
      <w:r>
        <w:t>Ф</w:t>
      </w:r>
      <w:r w:rsidRPr="00A15967">
        <w:t>АКТОРЫ</w:t>
      </w:r>
      <w:r>
        <w:t xml:space="preserve"> И </w:t>
      </w:r>
      <w:r w:rsidRPr="00A15967">
        <w:t xml:space="preserve"> УСЛОВИЯ ВОСПРОИЗВОДСТВА МАТЕРИАЛЬН</w:t>
      </w:r>
      <w:bookmarkStart w:id="0" w:name="_GoBack"/>
      <w:bookmarkEnd w:id="0"/>
      <w:r w:rsidRPr="00A15967">
        <w:t>О-ТЕХНИЧЕСКОЙ БАЗЫ</w:t>
      </w:r>
      <w:r>
        <w:t xml:space="preserve"> </w:t>
      </w:r>
      <w:r w:rsidRPr="00A15967">
        <w:t>СЕЛЬСКОГО ХОЗЯЙСТВА</w:t>
      </w:r>
    </w:p>
    <w:p w:rsidR="00743A4D" w:rsidRPr="00743A4D" w:rsidRDefault="00743A4D" w:rsidP="00743A4D">
      <w:pPr>
        <w:jc w:val="center"/>
        <w:rPr>
          <w:b/>
          <w:sz w:val="32"/>
        </w:rPr>
      </w:pPr>
    </w:p>
    <w:p w:rsidR="00743A4D" w:rsidRPr="00743A4D" w:rsidRDefault="00743A4D" w:rsidP="00743A4D">
      <w:pPr>
        <w:rPr>
          <w:lang w:eastAsia="ru-RU"/>
        </w:rPr>
      </w:pPr>
      <w:proofErr w:type="spellStart"/>
      <w:r w:rsidRPr="00743A4D">
        <w:rPr>
          <w:lang w:eastAsia="ru-RU"/>
        </w:rPr>
        <w:t>Бахтеева</w:t>
      </w:r>
      <w:proofErr w:type="spellEnd"/>
      <w:r w:rsidRPr="00743A4D">
        <w:rPr>
          <w:lang w:eastAsia="ru-RU"/>
        </w:rPr>
        <w:t xml:space="preserve"> Марьям </w:t>
      </w:r>
      <w:proofErr w:type="spellStart"/>
      <w:r w:rsidRPr="00743A4D">
        <w:rPr>
          <w:lang w:eastAsia="ru-RU"/>
        </w:rPr>
        <w:t>Рауфовна</w:t>
      </w:r>
      <w:proofErr w:type="spellEnd"/>
      <w:r w:rsidRPr="00743A4D">
        <w:rPr>
          <w:lang w:eastAsia="ru-RU"/>
        </w:rPr>
        <w:t>, старший преподаватель к</w:t>
      </w:r>
      <w:r w:rsidRPr="00743A4D">
        <w:rPr>
          <w:lang w:eastAsia="ru-RU"/>
        </w:rPr>
        <w:t>афедр</w:t>
      </w:r>
      <w:r w:rsidRPr="00743A4D">
        <w:rPr>
          <w:lang w:eastAsia="ru-RU"/>
        </w:rPr>
        <w:t xml:space="preserve">ы </w:t>
      </w:r>
      <w:r w:rsidRPr="00743A4D">
        <w:rPr>
          <w:lang w:eastAsia="ru-RU"/>
        </w:rPr>
        <w:t xml:space="preserve">«Менеджмент и экономическая безопасность» </w:t>
      </w:r>
    </w:p>
    <w:p w:rsidR="00743A4D" w:rsidRPr="00743A4D" w:rsidRDefault="00743A4D" w:rsidP="00743A4D">
      <w:pPr>
        <w:rPr>
          <w:sz w:val="24"/>
          <w:szCs w:val="24"/>
          <w:lang w:eastAsia="ru-RU"/>
        </w:rPr>
      </w:pPr>
      <w:r w:rsidRPr="00743A4D">
        <w:rPr>
          <w:lang w:eastAsia="ru-RU"/>
        </w:rPr>
        <w:t>Федеральное государственное бюджетное образовательное учреждение высшего образования</w:t>
      </w:r>
      <w:r w:rsidRPr="00743A4D">
        <w:rPr>
          <w:lang w:eastAsia="ru-RU"/>
        </w:rPr>
        <w:t xml:space="preserve"> «Пензенск</w:t>
      </w:r>
      <w:r w:rsidRPr="00743A4D">
        <w:rPr>
          <w:lang w:eastAsia="ru-RU"/>
        </w:rPr>
        <w:t>ий государственный университет»,</w:t>
      </w:r>
      <w:r w:rsidRPr="00743A4D">
        <w:rPr>
          <w:lang w:eastAsia="ru-RU"/>
        </w:rPr>
        <w:t xml:space="preserve"> г. Пенза, ул. Красная, 40</w:t>
      </w:r>
    </w:p>
    <w:p w:rsidR="00743A4D" w:rsidRDefault="00743A4D" w:rsidP="00743A4D">
      <w:pPr>
        <w:ind w:firstLine="709"/>
      </w:pPr>
      <w:r w:rsidRPr="00BD1526">
        <w:rPr>
          <w:b/>
          <w:bCs/>
        </w:rPr>
        <w:t>Аннотация</w:t>
      </w:r>
      <w:r w:rsidR="007646E1">
        <w:t xml:space="preserve"> в статье рассматриваются основные факторы, влияющие на скорость воспроизводство материально-технической базы, отражается степень влияния каждого из факторов на воспроизводственные процессы</w:t>
      </w:r>
      <w:proofErr w:type="gramStart"/>
      <w:r w:rsidR="007646E1">
        <w:t>.</w:t>
      </w:r>
      <w:proofErr w:type="gramEnd"/>
      <w:r w:rsidR="007646E1">
        <w:t xml:space="preserve"> Отражена роль государственной поддержки в формировании системы расширенного воспроизводства материально-технической базы в сельском хозяйстве. </w:t>
      </w:r>
    </w:p>
    <w:p w:rsidR="00743A4D" w:rsidRPr="00743A4D" w:rsidRDefault="007646E1" w:rsidP="00743A4D">
      <w:pPr>
        <w:ind w:firstLine="709"/>
        <w:rPr>
          <w:b/>
        </w:rPr>
      </w:pPr>
      <w:r>
        <w:rPr>
          <w:b/>
        </w:rPr>
        <w:t xml:space="preserve">Ключевые слова: воспроизводство материально-технической базы сельского хозяйства, внешние и внутренние факторы, влияющие на воспроизводство материально-технической базы. </w:t>
      </w:r>
    </w:p>
    <w:p w:rsidR="00743A4D" w:rsidRDefault="00743A4D" w:rsidP="00743A4D">
      <w:pPr>
        <w:jc w:val="center"/>
        <w:rPr>
          <w:b/>
        </w:rPr>
      </w:pPr>
    </w:p>
    <w:p w:rsidR="00743A4D" w:rsidRDefault="00743A4D" w:rsidP="00743A4D">
      <w:r>
        <w:t>Воспроизводственные процессы в сельском хозяйстве обычно рассма</w:t>
      </w:r>
      <w:r>
        <w:t>т</w:t>
      </w:r>
      <w:r>
        <w:t>рив</w:t>
      </w:r>
      <w:r>
        <w:t>ается на микро и макро-уровнях.</w:t>
      </w:r>
      <w:r>
        <w:t xml:space="preserve"> В первом случае рассматривается сп</w:t>
      </w:r>
      <w:r>
        <w:t>о</w:t>
      </w:r>
      <w:r>
        <w:t>собность сельхозпредприятий в нужное время и в необходимом количестве генерировать инвестиционные ресурсы, обеспечивающие обновление устаревшего оборудования, зданий и машинно-тракторного парка. Если рассма</w:t>
      </w:r>
      <w:r>
        <w:t>т</w:t>
      </w:r>
      <w:r>
        <w:t xml:space="preserve">ривать воспроизводство  на макроуровне, в этом случае </w:t>
      </w:r>
      <w:proofErr w:type="gramStart"/>
      <w:r>
        <w:t>самым</w:t>
      </w:r>
      <w:proofErr w:type="gramEnd"/>
      <w:r>
        <w:t xml:space="preserve"> важным в</w:t>
      </w:r>
      <w:r>
        <w:t>ы</w:t>
      </w:r>
      <w:r>
        <w:t>ступает  благоразумная политика государственных органов в отношении сельхозпроизводителей с целью обеспечения притока достаточного колич</w:t>
      </w:r>
      <w:r>
        <w:t>е</w:t>
      </w:r>
      <w:r>
        <w:t>ства инвестиционных ресурсов в аграрную сферу экономики.</w:t>
      </w:r>
    </w:p>
    <w:p w:rsidR="00743A4D" w:rsidRDefault="00743A4D" w:rsidP="00743A4D">
      <w:r>
        <w:t xml:space="preserve">Таким образом, скорость воспроизводственных процессов в сельском хозяйстве обусловлена факторами, которые, в большей мере, зависят от условий внешней среды, в которой функционируют </w:t>
      </w:r>
      <w:proofErr w:type="spellStart"/>
      <w:r>
        <w:t>сехозтоваропроизвод</w:t>
      </w:r>
      <w:r>
        <w:t>и</w:t>
      </w:r>
      <w:r>
        <w:t>тели</w:t>
      </w:r>
      <w:proofErr w:type="spellEnd"/>
      <w:r>
        <w:t xml:space="preserve"> </w:t>
      </w:r>
      <w:r>
        <w:lastRenderedPageBreak/>
        <w:t>(внешние факторы), и в меньшей мере, зависят от способов ведения х</w:t>
      </w:r>
      <w:r>
        <w:t>о</w:t>
      </w:r>
      <w:r>
        <w:t>зяйств и принципов функционирования предприятий (внутренние факторы).</w:t>
      </w:r>
    </w:p>
    <w:p w:rsidR="00743A4D" w:rsidRDefault="00743A4D" w:rsidP="00743A4D">
      <w:r>
        <w:t xml:space="preserve">Среди важнейших факторов, влияющих на возможность восстановления изношенных фондов  организаций аграрной сферы, на которые собственник сельхозпредприятия не в силах воздействовать, выделяются обременительная налоговая нагрузка, высокие ставки по банковским кредитам, </w:t>
      </w:r>
      <w:proofErr w:type="spellStart"/>
      <w:r>
        <w:t>диспаритет</w:t>
      </w:r>
      <w:proofErr w:type="spellEnd"/>
      <w:r>
        <w:t xml:space="preserve"> цен на сельскохозяйственную и промышленную продукцию, неэффективная государственная политика в вопросе модернизации и обновления сельхозпрои</w:t>
      </w:r>
      <w:r>
        <w:t>з</w:t>
      </w:r>
      <w:r>
        <w:t>водства. Для выявления коренных причин отсталости сельскохозяйственного производства необходим более тщательный анализ внешних факторов, ок</w:t>
      </w:r>
      <w:r>
        <w:t>а</w:t>
      </w:r>
      <w:r>
        <w:t>зывающих воздействие на воспроизводственные процессы в аграрной сфере.</w:t>
      </w:r>
    </w:p>
    <w:p w:rsidR="00743A4D" w:rsidRPr="001F5559" w:rsidRDefault="00743A4D" w:rsidP="00743A4D">
      <w:r>
        <w:t>Среди факторов, определяющих состояние материально-технической базы сельского хозяйства, на  первом месте стоит значительное сокращение инвестиционных вложений в основной капитал. Динамика инвестиций в обно</w:t>
      </w:r>
      <w:r>
        <w:t>в</w:t>
      </w:r>
      <w:r>
        <w:t>ление изношенных фондов сферы АПК в России имеет свою специфику. Наибольшее внимание данной проблеме уделялось в 60 -80 гг., когда пре</w:t>
      </w:r>
      <w:r>
        <w:t>д</w:t>
      </w:r>
      <w:r>
        <w:t>приятиям была предоставлена б</w:t>
      </w:r>
      <w:r w:rsidRPr="006E5CE8">
        <w:t>ольшая самостоятельность, поощрялись укрупнение хозяйств, концентрация и специализация</w:t>
      </w:r>
      <w:r>
        <w:t>. По данным статист</w:t>
      </w:r>
      <w:r>
        <w:t>и</w:t>
      </w:r>
      <w:r>
        <w:t>ки, объем капитальных вложений в сельское хозяйство в конце 80-х гг. с</w:t>
      </w:r>
      <w:r>
        <w:t>о</w:t>
      </w:r>
      <w:r>
        <w:t xml:space="preserve">ставлял 32% от общего объема вливаний в народное хозяйство. </w:t>
      </w:r>
      <w:r w:rsidRPr="00E71514">
        <w:t xml:space="preserve">С </w:t>
      </w:r>
      <w:r>
        <w:t>1992 года начался резкий спад российской экономики, который не мог не затронуть и аграрную сферу: объем направляемых денежных средств на обновление м</w:t>
      </w:r>
      <w:r>
        <w:t>а</w:t>
      </w:r>
      <w:r>
        <w:t>шинно-тракторного парка по сравнению с теми же показателями середины 80-х гг. сократился в 20 раз. Для того чтобы оставаться на плаву, предпри</w:t>
      </w:r>
      <w:r>
        <w:t>я</w:t>
      </w:r>
      <w:r>
        <w:t>тия АПК были вынуждены половину накопленных амортизационных отчи</w:t>
      </w:r>
      <w:r>
        <w:t>с</w:t>
      </w:r>
      <w:r>
        <w:t>лений направлять не по прямому их назначению, а на пополнение оборотных средств, что привело  к 37%-ному износу активной части основного капит</w:t>
      </w:r>
      <w:r>
        <w:t>а</w:t>
      </w:r>
      <w:r>
        <w:t>ла. Начиная с 2000-х годов в экономике сельского хозяйства наблюдался н</w:t>
      </w:r>
      <w:r>
        <w:t>е</w:t>
      </w:r>
      <w:r>
        <w:t>который ро</w:t>
      </w:r>
      <w:proofErr w:type="gramStart"/>
      <w:r>
        <w:t>ст впл</w:t>
      </w:r>
      <w:proofErr w:type="gramEnd"/>
      <w:r>
        <w:t xml:space="preserve">оть до 2007 года,  когда </w:t>
      </w:r>
      <w:r w:rsidRPr="001F5559">
        <w:t>в 2006 г</w:t>
      </w:r>
      <w:r>
        <w:rPr>
          <w:rFonts w:ascii="PT Sans" w:hAnsi="PT Sans"/>
          <w:color w:val="000000"/>
          <w:sz w:val="21"/>
          <w:szCs w:val="21"/>
        </w:rPr>
        <w:t xml:space="preserve">. </w:t>
      </w:r>
      <w:r w:rsidRPr="001F5559">
        <w:t xml:space="preserve">темп роста инвестиций в сопоставимых </w:t>
      </w:r>
      <w:r w:rsidRPr="001F5559">
        <w:lastRenderedPageBreak/>
        <w:t>ценах составил 143%, в 2007 г. – 131% (к предыдущему году</w:t>
      </w:r>
      <w:r>
        <w:t>). Однако мировой финансово-экономический кризис вновь откинул аграрный сектор на несколько шагов назад. И если в 2007 году инвестиции в основной капитал в сельском хозяйстве составляли почти 5% от общего объема влож</w:t>
      </w:r>
      <w:r>
        <w:t>е</w:t>
      </w:r>
      <w:r>
        <w:t>ний в основные фонды, то в 2017</w:t>
      </w:r>
      <w:r>
        <w:t xml:space="preserve"> году этот показатель снизился до 3,68%</w:t>
      </w:r>
      <w:r w:rsidR="007646E1">
        <w:t xml:space="preserve"> </w:t>
      </w:r>
      <w:r w:rsidR="007646E1" w:rsidRPr="007646E1">
        <w:t>[5]</w:t>
      </w:r>
      <w:r w:rsidRPr="0069195D">
        <w:t xml:space="preserve">. </w:t>
      </w:r>
    </w:p>
    <w:p w:rsidR="00743A4D" w:rsidRDefault="00743A4D" w:rsidP="00743A4D">
      <w:r>
        <w:t>Следующий фактор, тормозящий технологическую модернизацию АПК, проявляется в ухудшении состояния предприятий машиностроения, поста</w:t>
      </w:r>
      <w:r>
        <w:t>в</w:t>
      </w:r>
      <w:r>
        <w:t>ляющих</w:t>
      </w:r>
      <w:r>
        <w:t xml:space="preserve"> тракторы, комбайны и прочую технику сельхозпроизводителям. На данный момент около 60-80 % </w:t>
      </w:r>
      <w:r w:rsidRPr="00DA5502">
        <w:t>таких</w:t>
      </w:r>
      <w:r>
        <w:t xml:space="preserve"> предприятий имеют пророченную кредиторскую задолженность, производственные мощности загружены всего лишь на 30 - 40%. </w:t>
      </w:r>
      <w:r w:rsidRPr="00AB7707">
        <w:t>Если сравнивать показатели 1990 и 201</w:t>
      </w:r>
      <w:r w:rsidR="004C31F6">
        <w:t>6</w:t>
      </w:r>
      <w:r w:rsidRPr="00AB7707">
        <w:t>гг.</w:t>
      </w:r>
      <w:r w:rsidR="004C31F6">
        <w:t xml:space="preserve"> – </w:t>
      </w:r>
      <w:r w:rsidRPr="00AB7707">
        <w:t xml:space="preserve"> произв</w:t>
      </w:r>
      <w:r w:rsidR="004C31F6">
        <w:t xml:space="preserve">одство тракторов сократилось в </w:t>
      </w:r>
      <w:r w:rsidRPr="00AB7707">
        <w:t>17,12 раз</w:t>
      </w:r>
      <w:r w:rsidR="004C31F6">
        <w:t>.</w:t>
      </w:r>
    </w:p>
    <w:p w:rsidR="00743A4D" w:rsidRDefault="00743A4D" w:rsidP="00743A4D">
      <w:r>
        <w:t>За последние годы техника зарубежных компаний стала в разы популя</w:t>
      </w:r>
      <w:r>
        <w:t>р</w:t>
      </w:r>
      <w:r>
        <w:t>ней, чем российские аналоги. Это объясняется тем, что отечественные машины и оборудование уступают по надежности, расходу топлива, эксплуатац</w:t>
      </w:r>
      <w:r>
        <w:t>и</w:t>
      </w:r>
      <w:r>
        <w:t>онным и эргономическим характеристикам. Основные импортёры сел</w:t>
      </w:r>
      <w:r>
        <w:t>ь</w:t>
      </w:r>
      <w:r>
        <w:t xml:space="preserve">хозтехники в Россию – это США и Германия, экспортеры - страны СНГ. </w:t>
      </w:r>
    </w:p>
    <w:p w:rsidR="00743A4D" w:rsidRDefault="00743A4D" w:rsidP="00743A4D">
      <w:r>
        <w:t>Проблема неразвитости отечественного тракторного и сельскохозя</w:t>
      </w:r>
      <w:r>
        <w:t>й</w:t>
      </w:r>
      <w:r>
        <w:t>ственного машиностроения напрямую зависит от темпов развития предпри</w:t>
      </w:r>
      <w:r>
        <w:t>я</w:t>
      </w:r>
      <w:r>
        <w:t>тий АПК: как только у сельхозпроизводителей появятся денежные средства на восстановление материально-технической базы, это вызовет процесс озд</w:t>
      </w:r>
      <w:r>
        <w:t>о</w:t>
      </w:r>
      <w:r>
        <w:t>ровления предприятий, выпускающих технику для сельского хозяйства, а с</w:t>
      </w:r>
      <w:r>
        <w:t>а</w:t>
      </w:r>
      <w:r>
        <w:t>мое главное - появится стимул совершенствовать эту технику, повышая ее эффективность.</w:t>
      </w:r>
    </w:p>
    <w:p w:rsidR="00743A4D" w:rsidRDefault="00743A4D" w:rsidP="00743A4D">
      <w:r>
        <w:t>Летом 2012 года Россия стала членом Всемирной торговой организации, регулирующей правила торговли между странами. Этот фактор можно ра</w:t>
      </w:r>
      <w:r>
        <w:t>с</w:t>
      </w:r>
      <w:r>
        <w:t xml:space="preserve">сматривать как с положительной, так и с отрицательной стороны. </w:t>
      </w:r>
    </w:p>
    <w:p w:rsidR="00743A4D" w:rsidRDefault="00743A4D" w:rsidP="00743A4D">
      <w:r>
        <w:t>Основные минусы проявятся в краткосрочной перспективе: в первые г</w:t>
      </w:r>
      <w:r>
        <w:t>о</w:t>
      </w:r>
      <w:r>
        <w:t>ды отечественные сельхозпроизводители не смогут конкурировать по показ</w:t>
      </w:r>
      <w:r>
        <w:t>а</w:t>
      </w:r>
      <w:r>
        <w:t xml:space="preserve">телю цен с зарубежными аналогами, потому что из-за низкой покупательской </w:t>
      </w:r>
      <w:r>
        <w:lastRenderedPageBreak/>
        <w:t xml:space="preserve">способности основной части населения страны, потребитель покупает более дешевый продукт, не задумываясь о качестве. Один из плюсов заключается в том, что </w:t>
      </w:r>
      <w:proofErr w:type="spellStart"/>
      <w:r>
        <w:t>сехозпредприятия</w:t>
      </w:r>
      <w:proofErr w:type="spellEnd"/>
      <w:r>
        <w:t xml:space="preserve"> будут вынуждены усиленно внедрять инновации в технологию производства, без которых себестоимость и цена отечественных товаров не сможет конкурировать с теми же показателями импортных сельхозпродуктов. Следование по инновационному пути развития будет побу</w:t>
      </w:r>
      <w:r>
        <w:t>ж</w:t>
      </w:r>
      <w:r>
        <w:t>дать предприятия уделять особое внимание автоматизации трудоемких работ, применению усовершенствованного оборудования, подсчетам потерь при транспортировке животных и птиц и т.д. В результате сельскохозяйственное производство выйдет на новый уровень развития, а потребитель получит б</w:t>
      </w:r>
      <w:r>
        <w:t>о</w:t>
      </w:r>
      <w:r>
        <w:t>лее качественные отечественные товары.</w:t>
      </w:r>
    </w:p>
    <w:p w:rsidR="00743A4D" w:rsidRDefault="00743A4D" w:rsidP="00743A4D">
      <w:r>
        <w:t>В связи с вступлением России в ВТО перечень поставщиков сельскох</w:t>
      </w:r>
      <w:r>
        <w:t>о</w:t>
      </w:r>
      <w:r>
        <w:t>зяйственной техники расширится за счет иностранных компаний, так как ввозные пошлины на импортные комбайны, прицепы и ряд другой техники уменьшатся в 2-3 раза. Государство будет субсидировать процентные ставки по кредитам, направляемым на приобретение техники и оборудования как отечественного, так и зарубежного производства. В этих условиях сельхозпроизводители получат возможность прио</w:t>
      </w:r>
      <w:r>
        <w:t>б</w:t>
      </w:r>
      <w:r>
        <w:t>ретать высокоэффективную технику за меньшую сумму, что в конечном ит</w:t>
      </w:r>
      <w:r>
        <w:t>о</w:t>
      </w:r>
      <w:r>
        <w:t>ге приведет к подъему аграрного производства</w:t>
      </w:r>
      <w:r w:rsidR="007646E1" w:rsidRPr="007646E1">
        <w:t xml:space="preserve"> [2]</w:t>
      </w:r>
      <w:r>
        <w:t xml:space="preserve">. </w:t>
      </w:r>
    </w:p>
    <w:p w:rsidR="00743A4D" w:rsidRDefault="00743A4D" w:rsidP="00743A4D">
      <w:r>
        <w:t>Поскольку для восстановления материально-технических средств агр</w:t>
      </w:r>
      <w:r>
        <w:t>а</w:t>
      </w:r>
      <w:r>
        <w:t>рии часто прибегают к банковским услугам, целесообразно проанализировать насколько условия инвестиционного кредитования привлекают сельхозпр</w:t>
      </w:r>
      <w:r>
        <w:t>о</w:t>
      </w:r>
      <w:r>
        <w:t xml:space="preserve">изводителей. Роль проводника инструментов государственной поддержки сельхозпредприятий по финансированию восстановительных мер основных средств играют несколько банков страны, среди которых особо выделяется </w:t>
      </w:r>
      <w:proofErr w:type="spellStart"/>
      <w:r>
        <w:t>Россельхозбанк</w:t>
      </w:r>
      <w:proofErr w:type="spellEnd"/>
      <w:r>
        <w:t>. Однако свои государственные функции (собственно для выполнения к</w:t>
      </w:r>
      <w:r>
        <w:t>о</w:t>
      </w:r>
      <w:r>
        <w:t xml:space="preserve">торых он и был создан) по развитию кредитных отношений банка и сельских товаропроизводителей, по предоставлению кредитов в целях модернизации производства он выполняет не полностью. </w:t>
      </w:r>
      <w:r>
        <w:lastRenderedPageBreak/>
        <w:t>Дело в том, что методика оценка кредитоспособности предприятий аграрного сектора практически аналогична методике оценки кредитоспособности промышленных предприятий, орган</w:t>
      </w:r>
      <w:r>
        <w:t>и</w:t>
      </w:r>
      <w:r>
        <w:t>заций торговли, строительства и других сфер, рентабельность которых  в р</w:t>
      </w:r>
      <w:r>
        <w:t>а</w:t>
      </w:r>
      <w:r>
        <w:t>зы превосходит тот же показатель в сельском хозяйстве</w:t>
      </w:r>
      <w:r w:rsidR="007646E1" w:rsidRPr="007646E1">
        <w:t xml:space="preserve"> [3]</w:t>
      </w:r>
      <w:r>
        <w:t xml:space="preserve">. </w:t>
      </w:r>
      <w:proofErr w:type="gramStart"/>
      <w:r>
        <w:t>В результате не учитывается специфика сельскохозяйственного производства, его сезо</w:t>
      </w:r>
      <w:r>
        <w:t>н</w:t>
      </w:r>
      <w:r>
        <w:t>ность, зависимость от внешних факторов, медленные темы оборачиваемости и т.п., вследствие чего предприятия АПК, в особенности</w:t>
      </w:r>
      <w:proofErr w:type="gramEnd"/>
      <w:r>
        <w:t xml:space="preserve"> </w:t>
      </w:r>
      <w:proofErr w:type="gramStart"/>
      <w:r>
        <w:t>малый</w:t>
      </w:r>
      <w:proofErr w:type="gramEnd"/>
      <w:r>
        <w:t xml:space="preserve"> и средний бизнес, не всегда имеет доступ к кредитным ресурсам. </w:t>
      </w:r>
    </w:p>
    <w:p w:rsidR="00743A4D" w:rsidRDefault="00743A4D" w:rsidP="00743A4D">
      <w:r>
        <w:t xml:space="preserve">Особую тревогу вызывает тот факт, что </w:t>
      </w:r>
      <w:proofErr w:type="spellStart"/>
      <w:r>
        <w:t>сельхозугодья</w:t>
      </w:r>
      <w:proofErr w:type="spellEnd"/>
      <w:r>
        <w:t xml:space="preserve"> все чаще выст</w:t>
      </w:r>
      <w:r>
        <w:t>у</w:t>
      </w:r>
      <w:r>
        <w:t>пают залогом при кредитовании. Часто заемщики оказываются не в состо</w:t>
      </w:r>
      <w:r>
        <w:t>я</w:t>
      </w:r>
      <w:r>
        <w:t>нии погасить задолженность перед банковскими структурами, в результате земли аграриев переходят в собственность банков. Таким образом, сельск</w:t>
      </w:r>
      <w:r>
        <w:t>о</w:t>
      </w:r>
      <w:r>
        <w:t>хозяйственные угодья выбывают из производственного процесса, а механизм кредитования приводит к разрушению всего сельского хозяйства.</w:t>
      </w:r>
    </w:p>
    <w:p w:rsidR="00743A4D" w:rsidRDefault="00743A4D" w:rsidP="00743A4D">
      <w:r>
        <w:t>Рынок сре</w:t>
      </w:r>
      <w:proofErr w:type="gramStart"/>
      <w:r>
        <w:t>дств пр</w:t>
      </w:r>
      <w:proofErr w:type="gramEnd"/>
      <w:r>
        <w:t xml:space="preserve">оизводства для АПК в настоящее время </w:t>
      </w:r>
      <w:proofErr w:type="spellStart"/>
      <w:r>
        <w:t>высокомон</w:t>
      </w:r>
      <w:r>
        <w:t>о</w:t>
      </w:r>
      <w:r>
        <w:t>полизирован</w:t>
      </w:r>
      <w:proofErr w:type="spellEnd"/>
      <w:r>
        <w:t>. Сложившаяся ситуация вызвала большой разрыв в уровне цен на продукцию села и предприятий промышленности, что породило ряд проблем в аграрной сфере, не решаемых без участия государства. Таким образом, м</w:t>
      </w:r>
      <w:r>
        <w:t>о</w:t>
      </w:r>
      <w:r>
        <w:t>нополизация отраслей, являющихся поставщиками ресурсов для аграрного сектора, выступает дополнительным фактором, отрицательно воздейству</w:t>
      </w:r>
      <w:r>
        <w:t>ю</w:t>
      </w:r>
      <w:r>
        <w:t>щим на воспроизводственные процессы в сельском хозяйстве</w:t>
      </w:r>
      <w:r w:rsidR="007646E1" w:rsidRPr="007646E1">
        <w:t xml:space="preserve"> [1]</w:t>
      </w:r>
      <w:r>
        <w:t>.</w:t>
      </w:r>
    </w:p>
    <w:p w:rsidR="00743A4D" w:rsidRDefault="00743A4D" w:rsidP="00743A4D">
      <w:r>
        <w:t xml:space="preserve">Предприятия сельского хозяйства получили возможность частично обновить  материально-техническую базу во многом благодаря институту развития </w:t>
      </w:r>
      <w:proofErr w:type="spellStart"/>
      <w:r>
        <w:t>агролизинга</w:t>
      </w:r>
      <w:proofErr w:type="spellEnd"/>
      <w:r>
        <w:t xml:space="preserve">. Особенностью российского рынка </w:t>
      </w:r>
      <w:proofErr w:type="spellStart"/>
      <w:r>
        <w:t>агролизинга</w:t>
      </w:r>
      <w:proofErr w:type="spellEnd"/>
      <w:r>
        <w:t xml:space="preserve"> является его искусстве</w:t>
      </w:r>
      <w:r>
        <w:t>н</w:t>
      </w:r>
      <w:r w:rsidR="007646E1">
        <w:t>ная монополизация. На долю ОАО</w:t>
      </w:r>
      <w:r>
        <w:t xml:space="preserve"> «</w:t>
      </w:r>
      <w:proofErr w:type="spellStart"/>
      <w:r>
        <w:t>Росагролизинг</w:t>
      </w:r>
      <w:proofErr w:type="spellEnd"/>
      <w:r>
        <w:t>»  приходится 72% от о</w:t>
      </w:r>
      <w:r>
        <w:t>б</w:t>
      </w:r>
      <w:r>
        <w:t>щего объема лизинговых сделок в сельском хозяйстве. Эта компания получ</w:t>
      </w:r>
      <w:r>
        <w:t>а</w:t>
      </w:r>
      <w:r>
        <w:t xml:space="preserve">ет бесплатные денежные средства от государства в форме взносов в уставный капитал, приобретает на эти средства технику, оборудование и племенной скот и передает в лизинг сельхозпредприятиям. В сложившейся </w:t>
      </w:r>
      <w:r>
        <w:lastRenderedPageBreak/>
        <w:t xml:space="preserve">обстановке рынок </w:t>
      </w:r>
      <w:proofErr w:type="spellStart"/>
      <w:r>
        <w:t>агролизинга</w:t>
      </w:r>
      <w:proofErr w:type="spellEnd"/>
      <w:r>
        <w:t xml:space="preserve"> не может развиваться, и аграрии вынуждены нести выс</w:t>
      </w:r>
      <w:r>
        <w:t>о</w:t>
      </w:r>
      <w:r>
        <w:t xml:space="preserve">кие издержки по получению услуг действующей лизинговой компании. Таким образом, </w:t>
      </w:r>
      <w:proofErr w:type="spellStart"/>
      <w:r>
        <w:t>агролизинг</w:t>
      </w:r>
      <w:proofErr w:type="spellEnd"/>
      <w:r>
        <w:t xml:space="preserve"> хоть и выступает одним из перспективных инструментов обновления материально-технической базы сельского хозяйства, в российских условиях он не оказ</w:t>
      </w:r>
      <w:r>
        <w:t>ы</w:t>
      </w:r>
      <w:r>
        <w:t>вает большого влияния на решение данной проблемы</w:t>
      </w:r>
      <w:r w:rsidR="007646E1" w:rsidRPr="007646E1">
        <w:t xml:space="preserve"> [4]</w:t>
      </w:r>
      <w:r>
        <w:t>.</w:t>
      </w:r>
    </w:p>
    <w:p w:rsidR="00743A4D" w:rsidRDefault="00743A4D" w:rsidP="00743A4D">
      <w:r>
        <w:t>Среди факторов, тормозящих воспроизводство материально-технической базы сельского хозяйства, важно выделить недостатки действ</w:t>
      </w:r>
      <w:r>
        <w:t>у</w:t>
      </w:r>
      <w:r>
        <w:t>ющих инструментов поддержки сельхозпроизводителей. Фактически пров</w:t>
      </w:r>
      <w:r>
        <w:t>о</w:t>
      </w:r>
      <w:r>
        <w:t>димая государством политика направлена на компенсацию понесенных в т</w:t>
      </w:r>
      <w:r>
        <w:t>е</w:t>
      </w:r>
      <w:r>
        <w:t xml:space="preserve">кущем периоде затрат </w:t>
      </w:r>
      <w:proofErr w:type="spellStart"/>
      <w:r>
        <w:t>сельхозорганизаций</w:t>
      </w:r>
      <w:proofErr w:type="spellEnd"/>
      <w:r>
        <w:t>. Такая политика недостаточно эффективна по ряду причин. Во-первых, Правительство ежегодно пересма</w:t>
      </w:r>
      <w:r>
        <w:t>т</w:t>
      </w:r>
      <w:r>
        <w:t>ривает величину и направления расходования бюджетных средств, предн</w:t>
      </w:r>
      <w:r>
        <w:t>а</w:t>
      </w:r>
      <w:r>
        <w:t>значенных для аграрного сектора, при этом единого документа, регламент</w:t>
      </w:r>
      <w:r>
        <w:t>и</w:t>
      </w:r>
      <w:r>
        <w:t>рующего изменения в порядке, условиях и объемах предоставляемых субс</w:t>
      </w:r>
      <w:r>
        <w:t>и</w:t>
      </w:r>
      <w:r>
        <w:t xml:space="preserve">дий нет. </w:t>
      </w:r>
      <w:proofErr w:type="gramStart"/>
      <w:r>
        <w:t>Во-вторых, несмотря на то, что законодательно все аграрии, пода</w:t>
      </w:r>
      <w:r>
        <w:t>в</w:t>
      </w:r>
      <w:r>
        <w:t>шие заявки на участие в грантах, госпрограммах и т.п. и выполнившие все оговоренные требования, имеют одинаковое право на получение госуда</w:t>
      </w:r>
      <w:r>
        <w:t>р</w:t>
      </w:r>
      <w:r>
        <w:t>ственной помощи, лимит бюджетных средств весьма ограничен, а механизм перераспределения остатков финансовых ресурсов, заложенных в бюджете на другие цели, отсутствует, не все сельхозпредприятия в конечно счете п</w:t>
      </w:r>
      <w:r>
        <w:t>о</w:t>
      </w:r>
      <w:r>
        <w:t>лучают доступ к этим бюджетным средствам</w:t>
      </w:r>
      <w:proofErr w:type="gramEnd"/>
      <w:r>
        <w:t>. В третьих, в российской эк</w:t>
      </w:r>
      <w:r>
        <w:t>о</w:t>
      </w:r>
      <w:r>
        <w:t>номике все чаще наблюдаются злоупотребления при получении субсидий, обусловленные отсутствием единого механизма оформления и выдачи су</w:t>
      </w:r>
      <w:r>
        <w:t>б</w:t>
      </w:r>
      <w:r>
        <w:t>сидий, основанного на предоставлении документов, подтверждающих реал</w:t>
      </w:r>
      <w:r>
        <w:t>ь</w:t>
      </w:r>
      <w:r>
        <w:t xml:space="preserve">но понесенные сельхозпредприятиями издержки. </w:t>
      </w:r>
    </w:p>
    <w:p w:rsidR="00743A4D" w:rsidRDefault="004C31F6" w:rsidP="00743A4D">
      <w:r>
        <w:t>Таким образом</w:t>
      </w:r>
      <w:r w:rsidR="007646E1">
        <w:t>,</w:t>
      </w:r>
      <w:r>
        <w:t xml:space="preserve"> сложившиеся в настоящее время факторы и </w:t>
      </w:r>
      <w:proofErr w:type="gramStart"/>
      <w:r>
        <w:t>условиях</w:t>
      </w:r>
      <w:proofErr w:type="gramEnd"/>
      <w:r>
        <w:t xml:space="preserve"> функционирования сельскохозяйственных товаропроизводителей не способствуют не только расширенному, но и простому воспроизводству </w:t>
      </w:r>
      <w:r w:rsidR="007646E1">
        <w:t xml:space="preserve">их </w:t>
      </w:r>
      <w:r>
        <w:t xml:space="preserve">материально-технической базы. </w:t>
      </w:r>
    </w:p>
    <w:p w:rsidR="008A06F5" w:rsidRDefault="007646E1" w:rsidP="007646E1">
      <w:pPr>
        <w:jc w:val="center"/>
        <w:rPr>
          <w:lang w:val="en-US"/>
        </w:rPr>
      </w:pPr>
      <w:r>
        <w:lastRenderedPageBreak/>
        <w:t>Список использованной литературы:</w:t>
      </w:r>
    </w:p>
    <w:p w:rsidR="007646E1" w:rsidRPr="005A1EC2" w:rsidRDefault="007646E1" w:rsidP="007646E1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EC2">
        <w:rPr>
          <w:rFonts w:ascii="Times New Roman" w:hAnsi="Times New Roman" w:cs="Times New Roman"/>
          <w:sz w:val="28"/>
          <w:szCs w:val="28"/>
        </w:rPr>
        <w:t xml:space="preserve">Алферьев А. О мерах поддержки </w:t>
      </w:r>
      <w:proofErr w:type="spellStart"/>
      <w:r w:rsidRPr="005A1EC2">
        <w:rPr>
          <w:rFonts w:ascii="Times New Roman" w:hAnsi="Times New Roman" w:cs="Times New Roman"/>
          <w:sz w:val="28"/>
          <w:szCs w:val="28"/>
        </w:rPr>
        <w:t>ресурсообеспечения</w:t>
      </w:r>
      <w:proofErr w:type="spellEnd"/>
      <w:r w:rsidRPr="005A1EC2">
        <w:rPr>
          <w:rFonts w:ascii="Times New Roman" w:hAnsi="Times New Roman" w:cs="Times New Roman"/>
          <w:sz w:val="28"/>
          <w:szCs w:val="28"/>
        </w:rPr>
        <w:t xml:space="preserve"> сельского хозяйства // Экономист. – 2011. -№3. – С.41 - 47. С.44.</w:t>
      </w:r>
    </w:p>
    <w:p w:rsidR="007646E1" w:rsidRPr="005A1EC2" w:rsidRDefault="007646E1" w:rsidP="007646E1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EC2">
        <w:rPr>
          <w:rFonts w:ascii="Times New Roman" w:hAnsi="Times New Roman" w:cs="Times New Roman"/>
          <w:sz w:val="28"/>
          <w:szCs w:val="28"/>
        </w:rPr>
        <w:t xml:space="preserve">Белоусов В.И. Сельское хозяйство России в условиях вступления в ВТО: неизбежность провала или новые возможности // Электронный ресурс Федеральное интернет-издание «Капитал страны» </w:t>
      </w:r>
      <w:r w:rsidRPr="005A1EC2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5A1EC2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5A1EC2">
        <w:rPr>
          <w:rFonts w:ascii="Times New Roman" w:hAnsi="Times New Roman" w:cs="Times New Roman"/>
          <w:sz w:val="28"/>
          <w:szCs w:val="28"/>
          <w:lang w:val="en-US"/>
        </w:rPr>
        <w:t>kapital</w:t>
      </w:r>
      <w:proofErr w:type="spellEnd"/>
      <w:r w:rsidRPr="005A1EC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5A1EC2">
        <w:rPr>
          <w:rFonts w:ascii="Times New Roman" w:hAnsi="Times New Roman" w:cs="Times New Roman"/>
          <w:sz w:val="28"/>
          <w:szCs w:val="28"/>
          <w:lang w:val="en-US"/>
        </w:rPr>
        <w:t>rus</w:t>
      </w:r>
      <w:proofErr w:type="spellEnd"/>
      <w:r w:rsidRPr="005A1EC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A1EC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A1EC2">
        <w:rPr>
          <w:rFonts w:ascii="Times New Roman" w:hAnsi="Times New Roman" w:cs="Times New Roman"/>
          <w:sz w:val="28"/>
          <w:szCs w:val="28"/>
        </w:rPr>
        <w:t>/</w:t>
      </w:r>
      <w:r w:rsidRPr="005A1EC2">
        <w:rPr>
          <w:rFonts w:ascii="Times New Roman" w:hAnsi="Times New Roman" w:cs="Times New Roman"/>
          <w:sz w:val="28"/>
          <w:szCs w:val="28"/>
          <w:lang w:val="en-US"/>
        </w:rPr>
        <w:t>articles</w:t>
      </w:r>
      <w:r w:rsidRPr="005A1EC2">
        <w:rPr>
          <w:rFonts w:ascii="Times New Roman" w:hAnsi="Times New Roman" w:cs="Times New Roman"/>
          <w:sz w:val="28"/>
          <w:szCs w:val="28"/>
        </w:rPr>
        <w:t>/</w:t>
      </w:r>
      <w:r w:rsidRPr="005A1EC2">
        <w:rPr>
          <w:rFonts w:ascii="Times New Roman" w:hAnsi="Times New Roman" w:cs="Times New Roman"/>
          <w:sz w:val="28"/>
          <w:szCs w:val="28"/>
          <w:lang w:val="en-US"/>
        </w:rPr>
        <w:t>article</w:t>
      </w:r>
      <w:r w:rsidRPr="005A1EC2">
        <w:rPr>
          <w:rFonts w:ascii="Times New Roman" w:hAnsi="Times New Roman" w:cs="Times New Roman"/>
          <w:sz w:val="28"/>
          <w:szCs w:val="28"/>
        </w:rPr>
        <w:t>/220420/</w:t>
      </w:r>
    </w:p>
    <w:p w:rsidR="007646E1" w:rsidRPr="005A1EC2" w:rsidRDefault="007646E1" w:rsidP="007646E1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EC2">
        <w:rPr>
          <w:rFonts w:ascii="Times New Roman" w:hAnsi="Times New Roman" w:cs="Times New Roman"/>
          <w:sz w:val="28"/>
          <w:szCs w:val="28"/>
        </w:rPr>
        <w:t>Князев А. Государственное кредитование аграрной сферы экономики //АПК: Экономика, управление. – 2010. - № 1. – С. 51-55. С 52</w:t>
      </w:r>
    </w:p>
    <w:p w:rsidR="007646E1" w:rsidRPr="005A1EC2" w:rsidRDefault="007646E1" w:rsidP="007646E1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1EC2">
        <w:rPr>
          <w:rFonts w:ascii="Times New Roman" w:hAnsi="Times New Roman" w:cs="Times New Roman"/>
          <w:sz w:val="28"/>
          <w:szCs w:val="28"/>
        </w:rPr>
        <w:t>Луневская</w:t>
      </w:r>
      <w:proofErr w:type="spellEnd"/>
      <w:r w:rsidRPr="005A1EC2">
        <w:rPr>
          <w:rFonts w:ascii="Times New Roman" w:hAnsi="Times New Roman" w:cs="Times New Roman"/>
          <w:sz w:val="28"/>
          <w:szCs w:val="28"/>
        </w:rPr>
        <w:t xml:space="preserve"> К.Г. Проблемы развития </w:t>
      </w:r>
      <w:proofErr w:type="spellStart"/>
      <w:r w:rsidRPr="005A1EC2">
        <w:rPr>
          <w:rFonts w:ascii="Times New Roman" w:hAnsi="Times New Roman" w:cs="Times New Roman"/>
          <w:sz w:val="28"/>
          <w:szCs w:val="28"/>
        </w:rPr>
        <w:t>агролизинга</w:t>
      </w:r>
      <w:proofErr w:type="spellEnd"/>
      <w:r w:rsidRPr="005A1EC2">
        <w:rPr>
          <w:rFonts w:ascii="Times New Roman" w:hAnsi="Times New Roman" w:cs="Times New Roman"/>
          <w:sz w:val="28"/>
          <w:szCs w:val="28"/>
        </w:rPr>
        <w:t xml:space="preserve"> в системе регионального АПК // Финансы и кредит. – 2016 .- №  .- С. 54-56. С 55</w:t>
      </w:r>
    </w:p>
    <w:p w:rsidR="007646E1" w:rsidRPr="005A1EC2" w:rsidRDefault="007646E1" w:rsidP="007646E1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EC2">
        <w:rPr>
          <w:rFonts w:ascii="Times New Roman" w:hAnsi="Times New Roman" w:cs="Times New Roman"/>
          <w:sz w:val="28"/>
          <w:szCs w:val="28"/>
        </w:rPr>
        <w:t xml:space="preserve">Официальный портал Федеральной службы государственной статистики </w:t>
      </w:r>
      <w:hyperlink r:id="rId8" w:history="1">
        <w:r w:rsidRPr="005A1EC2">
          <w:rPr>
            <w:rStyle w:val="a6"/>
            <w:rFonts w:ascii="Times New Roman" w:hAnsi="Times New Roman"/>
            <w:sz w:val="28"/>
            <w:szCs w:val="28"/>
          </w:rPr>
          <w:t>http://www.gks.ru</w:t>
        </w:r>
      </w:hyperlink>
    </w:p>
    <w:p w:rsidR="007646E1" w:rsidRPr="005A1EC2" w:rsidRDefault="007646E1" w:rsidP="007646E1"/>
    <w:p w:rsidR="00D54CB9" w:rsidRPr="00BD1526" w:rsidRDefault="00D54CB9" w:rsidP="00D54CB9">
      <w:pPr>
        <w:pStyle w:val="a7"/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(©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М.Р.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Бахтеева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>, 2019</w:t>
      </w:r>
      <w:r w:rsidRPr="00047960">
        <w:rPr>
          <w:rFonts w:ascii="Times New Roman" w:eastAsia="Calibri" w:hAnsi="Times New Roman" w:cs="Times New Roman"/>
          <w:bCs/>
          <w:sz w:val="28"/>
          <w:szCs w:val="28"/>
        </w:rPr>
        <w:t>)</w:t>
      </w:r>
    </w:p>
    <w:p w:rsidR="007646E1" w:rsidRPr="007646E1" w:rsidRDefault="007646E1" w:rsidP="007646E1">
      <w:pPr>
        <w:jc w:val="center"/>
      </w:pPr>
    </w:p>
    <w:sectPr w:rsidR="007646E1" w:rsidRPr="007646E1" w:rsidSect="004C31F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F32" w:rsidRDefault="00DA1F32" w:rsidP="00743A4D">
      <w:pPr>
        <w:spacing w:line="240" w:lineRule="auto"/>
      </w:pPr>
      <w:r>
        <w:separator/>
      </w:r>
    </w:p>
  </w:endnote>
  <w:endnote w:type="continuationSeparator" w:id="0">
    <w:p w:rsidR="00DA1F32" w:rsidRDefault="00DA1F32" w:rsidP="00743A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F32" w:rsidRDefault="00DA1F32" w:rsidP="00743A4D">
      <w:pPr>
        <w:spacing w:line="240" w:lineRule="auto"/>
      </w:pPr>
      <w:r>
        <w:separator/>
      </w:r>
    </w:p>
  </w:footnote>
  <w:footnote w:type="continuationSeparator" w:id="0">
    <w:p w:rsidR="00DA1F32" w:rsidRDefault="00DA1F32" w:rsidP="00743A4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33019"/>
    <w:multiLevelType w:val="hybridMultilevel"/>
    <w:tmpl w:val="CDC47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A4D"/>
    <w:rsid w:val="004C31F6"/>
    <w:rsid w:val="00743A4D"/>
    <w:rsid w:val="007646E1"/>
    <w:rsid w:val="008A06F5"/>
    <w:rsid w:val="00D54CB9"/>
    <w:rsid w:val="00DA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A4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743A4D"/>
    <w:pPr>
      <w:ind w:firstLine="0"/>
      <w:jc w:val="center"/>
      <w:outlineLvl w:val="1"/>
    </w:pPr>
    <w:rPr>
      <w:b/>
      <w:bCs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43A4D"/>
    <w:rPr>
      <w:rFonts w:ascii="Times New Roman" w:eastAsia="Times New Roman" w:hAnsi="Times New Roman" w:cs="Times New Roman"/>
      <w:b/>
      <w:bCs/>
      <w:sz w:val="28"/>
      <w:szCs w:val="36"/>
      <w:lang w:eastAsia="ru-RU"/>
    </w:rPr>
  </w:style>
  <w:style w:type="paragraph" w:styleId="a3">
    <w:name w:val="footnote text"/>
    <w:basedOn w:val="a"/>
    <w:link w:val="a4"/>
    <w:uiPriority w:val="99"/>
    <w:rsid w:val="00743A4D"/>
    <w:pPr>
      <w:spacing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743A4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rsid w:val="00743A4D"/>
    <w:rPr>
      <w:rFonts w:cs="Times New Roman"/>
      <w:vertAlign w:val="superscript"/>
    </w:rPr>
  </w:style>
  <w:style w:type="character" w:styleId="a6">
    <w:name w:val="Hyperlink"/>
    <w:basedOn w:val="a0"/>
    <w:uiPriority w:val="99"/>
    <w:rsid w:val="00743A4D"/>
    <w:rPr>
      <w:rFonts w:cs="Times New Roman"/>
      <w:color w:val="0000FF"/>
      <w:u w:val="single"/>
    </w:rPr>
  </w:style>
  <w:style w:type="paragraph" w:styleId="a7">
    <w:name w:val="List Paragraph"/>
    <w:basedOn w:val="a"/>
    <w:uiPriority w:val="34"/>
    <w:qFormat/>
    <w:rsid w:val="007646E1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A4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743A4D"/>
    <w:pPr>
      <w:ind w:firstLine="0"/>
      <w:jc w:val="center"/>
      <w:outlineLvl w:val="1"/>
    </w:pPr>
    <w:rPr>
      <w:b/>
      <w:bCs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43A4D"/>
    <w:rPr>
      <w:rFonts w:ascii="Times New Roman" w:eastAsia="Times New Roman" w:hAnsi="Times New Roman" w:cs="Times New Roman"/>
      <w:b/>
      <w:bCs/>
      <w:sz w:val="28"/>
      <w:szCs w:val="36"/>
      <w:lang w:eastAsia="ru-RU"/>
    </w:rPr>
  </w:style>
  <w:style w:type="paragraph" w:styleId="a3">
    <w:name w:val="footnote text"/>
    <w:basedOn w:val="a"/>
    <w:link w:val="a4"/>
    <w:uiPriority w:val="99"/>
    <w:rsid w:val="00743A4D"/>
    <w:pPr>
      <w:spacing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743A4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rsid w:val="00743A4D"/>
    <w:rPr>
      <w:rFonts w:cs="Times New Roman"/>
      <w:vertAlign w:val="superscript"/>
    </w:rPr>
  </w:style>
  <w:style w:type="character" w:styleId="a6">
    <w:name w:val="Hyperlink"/>
    <w:basedOn w:val="a0"/>
    <w:uiPriority w:val="99"/>
    <w:rsid w:val="00743A4D"/>
    <w:rPr>
      <w:rFonts w:cs="Times New Roman"/>
      <w:color w:val="0000FF"/>
      <w:u w:val="single"/>
    </w:rPr>
  </w:style>
  <w:style w:type="paragraph" w:styleId="a7">
    <w:name w:val="List Paragraph"/>
    <w:basedOn w:val="a"/>
    <w:uiPriority w:val="34"/>
    <w:qFormat/>
    <w:rsid w:val="007646E1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ks.ru/wps/wcm/connect/rosstat_main/rosstat/ru/statistics/enterprise/investment/nonfinancial/#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1868</Words>
  <Characters>10650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Тактарова</dc:creator>
  <cp:lastModifiedBy>Тактарова</cp:lastModifiedBy>
  <cp:revision>2</cp:revision>
  <dcterms:created xsi:type="dcterms:W3CDTF">2019-04-15T12:20:00Z</dcterms:created>
  <dcterms:modified xsi:type="dcterms:W3CDTF">2019-04-15T12:51:00Z</dcterms:modified>
</cp:coreProperties>
</file>