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D83" w:rsidRPr="00743A13" w:rsidRDefault="009F0B99" w:rsidP="00743A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743A13">
        <w:rPr>
          <w:rFonts w:ascii="Times New Roman" w:hAnsi="Times New Roman" w:cs="Times New Roman"/>
          <w:b/>
          <w:sz w:val="28"/>
          <w:szCs w:val="28"/>
        </w:rPr>
        <w:t>Эффективность использования основных производственных фондов в ООО «Омский Майонезный завод» города Омска.</w:t>
      </w:r>
    </w:p>
    <w:bookmarkEnd w:id="0"/>
    <w:p w:rsidR="007C43FB" w:rsidRDefault="009F0B99" w:rsidP="007C43FB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743A13">
        <w:rPr>
          <w:rFonts w:ascii="Times New Roman" w:hAnsi="Times New Roman" w:cs="Times New Roman"/>
          <w:b/>
          <w:sz w:val="28"/>
          <w:szCs w:val="28"/>
        </w:rPr>
        <w:t>А.К. Фатеева</w:t>
      </w:r>
      <w:r w:rsidR="007C43FB">
        <w:rPr>
          <w:rFonts w:ascii="Times New Roman" w:hAnsi="Times New Roman" w:cs="Times New Roman"/>
          <w:b/>
          <w:sz w:val="28"/>
          <w:szCs w:val="28"/>
        </w:rPr>
        <w:t>,</w:t>
      </w:r>
      <w:r w:rsidRPr="00743A13">
        <w:rPr>
          <w:rFonts w:ascii="Times New Roman" w:hAnsi="Times New Roman" w:cs="Times New Roman"/>
          <w:b/>
          <w:sz w:val="28"/>
          <w:szCs w:val="28"/>
        </w:rPr>
        <w:t xml:space="preserve"> г. Омск ФГБОУ </w:t>
      </w:r>
      <w:proofErr w:type="gramStart"/>
      <w:r w:rsidRPr="00743A13">
        <w:rPr>
          <w:rFonts w:ascii="Times New Roman" w:hAnsi="Times New Roman" w:cs="Times New Roman"/>
          <w:b/>
          <w:sz w:val="28"/>
          <w:szCs w:val="28"/>
        </w:rPr>
        <w:t>ВО</w:t>
      </w:r>
      <w:proofErr w:type="gramEnd"/>
      <w:r w:rsidRPr="00743A13">
        <w:rPr>
          <w:rFonts w:ascii="Times New Roman" w:hAnsi="Times New Roman" w:cs="Times New Roman"/>
          <w:b/>
          <w:sz w:val="28"/>
          <w:szCs w:val="28"/>
        </w:rPr>
        <w:t xml:space="preserve"> Омский </w:t>
      </w:r>
    </w:p>
    <w:p w:rsidR="009F0B99" w:rsidRPr="00743A13" w:rsidRDefault="009F0B99" w:rsidP="007C43FB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743A13">
        <w:rPr>
          <w:rFonts w:ascii="Times New Roman" w:hAnsi="Times New Roman" w:cs="Times New Roman"/>
          <w:b/>
          <w:sz w:val="28"/>
          <w:szCs w:val="28"/>
        </w:rPr>
        <w:t>государственный университет им. П.А. Столыпина</w:t>
      </w:r>
    </w:p>
    <w:p w:rsidR="009F0B99" w:rsidRPr="00743A13" w:rsidRDefault="009F0B99" w:rsidP="00743A13">
      <w:pPr>
        <w:jc w:val="both"/>
        <w:rPr>
          <w:rFonts w:ascii="Times New Roman" w:hAnsi="Times New Roman" w:cs="Times New Roman"/>
          <w:sz w:val="28"/>
          <w:szCs w:val="28"/>
        </w:rPr>
      </w:pPr>
      <w:r w:rsidRPr="00743A13">
        <w:rPr>
          <w:rFonts w:ascii="Times New Roman" w:hAnsi="Times New Roman" w:cs="Times New Roman"/>
          <w:sz w:val="28"/>
          <w:szCs w:val="28"/>
        </w:rPr>
        <w:t xml:space="preserve">Ключевые слова: основные производственные фонды, эффективность, использование, обеспеченность, фондоотдача,  </w:t>
      </w:r>
      <w:proofErr w:type="spellStart"/>
      <w:r w:rsidRPr="00743A13">
        <w:rPr>
          <w:rFonts w:ascii="Times New Roman" w:hAnsi="Times New Roman" w:cs="Times New Roman"/>
          <w:sz w:val="28"/>
          <w:szCs w:val="28"/>
        </w:rPr>
        <w:t>фондоемкость</w:t>
      </w:r>
      <w:proofErr w:type="spellEnd"/>
      <w:r w:rsidRPr="00743A13">
        <w:rPr>
          <w:rFonts w:ascii="Times New Roman" w:hAnsi="Times New Roman" w:cs="Times New Roman"/>
          <w:sz w:val="28"/>
          <w:szCs w:val="28"/>
        </w:rPr>
        <w:t>.</w:t>
      </w:r>
    </w:p>
    <w:p w:rsidR="009F0B99" w:rsidRPr="00743A13" w:rsidRDefault="009F0B99" w:rsidP="00743A13">
      <w:pPr>
        <w:jc w:val="both"/>
        <w:rPr>
          <w:rFonts w:ascii="Times New Roman" w:hAnsi="Times New Roman" w:cs="Times New Roman"/>
          <w:sz w:val="28"/>
          <w:szCs w:val="28"/>
        </w:rPr>
      </w:pPr>
      <w:r w:rsidRPr="00743A13">
        <w:rPr>
          <w:rFonts w:ascii="Times New Roman" w:hAnsi="Times New Roman" w:cs="Times New Roman"/>
          <w:sz w:val="28"/>
          <w:szCs w:val="28"/>
        </w:rPr>
        <w:t>Аннотация. В данной статье освещены теоретические и практические аспекты эффективности использования основных фондов предприятия на примере ООО «Омский майонезный завод» г. Омска и предложены основные направления улучшения их использования.</w:t>
      </w:r>
    </w:p>
    <w:p w:rsidR="009F0B99" w:rsidRPr="00743A13" w:rsidRDefault="009F0B99" w:rsidP="00743A1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3A13">
        <w:rPr>
          <w:rFonts w:ascii="Times New Roman" w:hAnsi="Times New Roman" w:cs="Times New Roman"/>
          <w:sz w:val="28"/>
          <w:szCs w:val="28"/>
        </w:rPr>
        <w:t>Эффективность развития сельскохозяйственного производства в значительной степени определяется состоянием имеющего ресурсного потенциала, в состав которого входят земельные, трудовые и материальные ресурсы, важнейшим элементом из которых являются основные производственные фонды.</w:t>
      </w:r>
    </w:p>
    <w:p w:rsidR="009F0B99" w:rsidRPr="00743A13" w:rsidRDefault="009F0B99" w:rsidP="00743A1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3A13">
        <w:rPr>
          <w:rFonts w:ascii="Times New Roman" w:hAnsi="Times New Roman" w:cs="Times New Roman"/>
          <w:sz w:val="28"/>
          <w:szCs w:val="28"/>
        </w:rPr>
        <w:t xml:space="preserve">Основные средства являются одним из важнейших факторов любого производства. Их состояние и эффективное использование прямо влияет на конечные результаты хозяйственной деятельности предприятия. </w:t>
      </w:r>
      <w:r w:rsidR="00B65053" w:rsidRPr="00743A13">
        <w:rPr>
          <w:rFonts w:ascii="Times New Roman" w:hAnsi="Times New Roman" w:cs="Times New Roman"/>
          <w:sz w:val="28"/>
          <w:szCs w:val="28"/>
        </w:rPr>
        <w:t xml:space="preserve">Более полное и рациональное использование основных фондов способствует улучшению всех его технико-экономических показателей: росту экономической эффективности производительности труда, повышению </w:t>
      </w:r>
      <w:proofErr w:type="spellStart"/>
      <w:r w:rsidR="00B65053" w:rsidRPr="00743A13">
        <w:rPr>
          <w:rFonts w:ascii="Times New Roman" w:hAnsi="Times New Roman" w:cs="Times New Roman"/>
          <w:sz w:val="28"/>
          <w:szCs w:val="28"/>
        </w:rPr>
        <w:t>фоондоотдачи</w:t>
      </w:r>
      <w:proofErr w:type="spellEnd"/>
      <w:r w:rsidR="00B65053" w:rsidRPr="00743A13">
        <w:rPr>
          <w:rFonts w:ascii="Times New Roman" w:hAnsi="Times New Roman" w:cs="Times New Roman"/>
          <w:sz w:val="28"/>
          <w:szCs w:val="28"/>
        </w:rPr>
        <w:t>, увеличению выпуска продукции, снижению себестоимости, рационального использования капитальных вложений.</w:t>
      </w:r>
    </w:p>
    <w:p w:rsidR="00B65053" w:rsidRPr="00743A13" w:rsidRDefault="00B65053" w:rsidP="00743A1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3A13">
        <w:rPr>
          <w:rFonts w:ascii="Times New Roman" w:hAnsi="Times New Roman" w:cs="Times New Roman"/>
          <w:sz w:val="28"/>
          <w:szCs w:val="28"/>
        </w:rPr>
        <w:t>Обеспеченность сельскохозяйственных предприятий основными средствами производства и эффективность их использования – важные факторы, от которых зависит результаты хозяйственной деятельности, в частности качество, полнота и своевременность выполнения работ, а следовательно, и объем производства продукции</w:t>
      </w:r>
      <w:proofErr w:type="gramStart"/>
      <w:r w:rsidRPr="00743A1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43A13">
        <w:rPr>
          <w:rFonts w:ascii="Times New Roman" w:hAnsi="Times New Roman" w:cs="Times New Roman"/>
          <w:sz w:val="28"/>
          <w:szCs w:val="28"/>
        </w:rPr>
        <w:t xml:space="preserve"> ее себестоимость, финансовое состояние предприятия. В связи с этим анализ обеспеченности </w:t>
      </w:r>
      <w:r w:rsidRPr="00743A13">
        <w:rPr>
          <w:rFonts w:ascii="Times New Roman" w:hAnsi="Times New Roman" w:cs="Times New Roman"/>
          <w:sz w:val="28"/>
          <w:szCs w:val="28"/>
        </w:rPr>
        <w:lastRenderedPageBreak/>
        <w:t>предприятий основными средствами и поиск резервов повышения эффективности их использования имеют большое значение.</w:t>
      </w:r>
    </w:p>
    <w:p w:rsidR="009F0B99" w:rsidRPr="00743A13" w:rsidRDefault="00B65053" w:rsidP="00743A1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3A13">
        <w:rPr>
          <w:rFonts w:ascii="Times New Roman" w:hAnsi="Times New Roman" w:cs="Times New Roman"/>
          <w:sz w:val="28"/>
          <w:szCs w:val="28"/>
        </w:rPr>
        <w:t>Низкая обеспеченность предприятий основными производственными фондами приводит к несвоевременному выполнению важнейших технологических операций, росту трудоемкости и увеличению материально-денежных затрат на производство единицы продукции. В свою очередь наличие большого количества сверхнормативных сре</w:t>
      </w:r>
      <w:proofErr w:type="gramStart"/>
      <w:r w:rsidRPr="00743A13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743A13">
        <w:rPr>
          <w:rFonts w:ascii="Times New Roman" w:hAnsi="Times New Roman" w:cs="Times New Roman"/>
          <w:sz w:val="28"/>
          <w:szCs w:val="28"/>
        </w:rPr>
        <w:t xml:space="preserve">оизводства способствует росту амортизационных отчислений, увеличению затрат </w:t>
      </w:r>
      <w:r w:rsidR="007F01C8" w:rsidRPr="00743A13">
        <w:rPr>
          <w:rFonts w:ascii="Times New Roman" w:hAnsi="Times New Roman" w:cs="Times New Roman"/>
          <w:sz w:val="28"/>
          <w:szCs w:val="28"/>
        </w:rPr>
        <w:t xml:space="preserve">на их сохранение и обслуживание и в конечном итоге ведет к удорожанию произведенной продукции. Высокая эффективность производства достигается при </w:t>
      </w:r>
      <w:r w:rsidRPr="00743A13">
        <w:rPr>
          <w:rFonts w:ascii="Times New Roman" w:hAnsi="Times New Roman" w:cs="Times New Roman"/>
          <w:sz w:val="28"/>
          <w:szCs w:val="28"/>
        </w:rPr>
        <w:t xml:space="preserve"> </w:t>
      </w:r>
      <w:r w:rsidR="007F01C8" w:rsidRPr="00743A13">
        <w:rPr>
          <w:rFonts w:ascii="Times New Roman" w:hAnsi="Times New Roman" w:cs="Times New Roman"/>
          <w:sz w:val="28"/>
          <w:szCs w:val="28"/>
        </w:rPr>
        <w:t>оптимальной обеспеченности предприятий основными производственными фондами.</w:t>
      </w:r>
    </w:p>
    <w:p w:rsidR="007F01C8" w:rsidRPr="00743A13" w:rsidRDefault="007F01C8" w:rsidP="00743A1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3A13">
        <w:rPr>
          <w:rFonts w:ascii="Times New Roman" w:hAnsi="Times New Roman" w:cs="Times New Roman"/>
          <w:sz w:val="28"/>
          <w:szCs w:val="28"/>
        </w:rPr>
        <w:t xml:space="preserve">На обеспеченность </w:t>
      </w:r>
      <w:proofErr w:type="gramStart"/>
      <w:r w:rsidRPr="00743A13">
        <w:rPr>
          <w:rFonts w:ascii="Times New Roman" w:hAnsi="Times New Roman" w:cs="Times New Roman"/>
          <w:sz w:val="28"/>
          <w:szCs w:val="28"/>
        </w:rPr>
        <w:t>основными</w:t>
      </w:r>
      <w:proofErr w:type="gramEnd"/>
      <w:r w:rsidRPr="00743A13">
        <w:rPr>
          <w:rFonts w:ascii="Times New Roman" w:hAnsi="Times New Roman" w:cs="Times New Roman"/>
          <w:sz w:val="28"/>
          <w:szCs w:val="28"/>
        </w:rPr>
        <w:t xml:space="preserve"> производственными фондам оказывают влияние ряд факторов. Среди них такие, как специализация, технология производства, уровень интенсивности. Показатели эффективности использования основных производственных средств  подразделяются </w:t>
      </w:r>
      <w:proofErr w:type="gramStart"/>
      <w:r w:rsidRPr="00743A1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743A13">
        <w:rPr>
          <w:rFonts w:ascii="Times New Roman" w:hAnsi="Times New Roman" w:cs="Times New Roman"/>
          <w:sz w:val="28"/>
          <w:szCs w:val="28"/>
        </w:rPr>
        <w:t xml:space="preserve"> обобщающие, стоимостные и технико-экономические. Стоимостные показатели отражают уровень использования производственных основных сре</w:t>
      </w:r>
      <w:proofErr w:type="gramStart"/>
      <w:r w:rsidRPr="00743A13">
        <w:rPr>
          <w:rFonts w:ascii="Times New Roman" w:hAnsi="Times New Roman" w:cs="Times New Roman"/>
          <w:sz w:val="28"/>
          <w:szCs w:val="28"/>
        </w:rPr>
        <w:t>дств в ц</w:t>
      </w:r>
      <w:proofErr w:type="gramEnd"/>
      <w:r w:rsidRPr="00743A13">
        <w:rPr>
          <w:rFonts w:ascii="Times New Roman" w:hAnsi="Times New Roman" w:cs="Times New Roman"/>
          <w:sz w:val="28"/>
          <w:szCs w:val="28"/>
        </w:rPr>
        <w:t xml:space="preserve">елом по всей их совокупности. А </w:t>
      </w:r>
      <w:proofErr w:type="gramStart"/>
      <w:r w:rsidRPr="00743A13">
        <w:rPr>
          <w:rFonts w:ascii="Times New Roman" w:hAnsi="Times New Roman" w:cs="Times New Roman"/>
          <w:sz w:val="28"/>
          <w:szCs w:val="28"/>
        </w:rPr>
        <w:t>технико – экономические</w:t>
      </w:r>
      <w:proofErr w:type="gramEnd"/>
      <w:r w:rsidRPr="00743A13">
        <w:rPr>
          <w:rFonts w:ascii="Times New Roman" w:hAnsi="Times New Roman" w:cs="Times New Roman"/>
          <w:sz w:val="28"/>
          <w:szCs w:val="28"/>
        </w:rPr>
        <w:t xml:space="preserve"> – применяют для характеристики использования отдельных видов средств труда.</w:t>
      </w:r>
    </w:p>
    <w:p w:rsidR="007F01C8" w:rsidRPr="00743A13" w:rsidRDefault="007F01C8" w:rsidP="00743A1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3A13">
        <w:rPr>
          <w:rFonts w:ascii="Times New Roman" w:hAnsi="Times New Roman" w:cs="Times New Roman"/>
          <w:sz w:val="28"/>
          <w:szCs w:val="28"/>
        </w:rPr>
        <w:t xml:space="preserve">Объектом исследования является ООО «Омский майонезный завод» г. Омска, </w:t>
      </w:r>
      <w:r w:rsidR="00435DA1" w:rsidRPr="00743A13">
        <w:rPr>
          <w:rFonts w:ascii="Times New Roman" w:hAnsi="Times New Roman" w:cs="Times New Roman"/>
          <w:sz w:val="28"/>
          <w:szCs w:val="28"/>
        </w:rPr>
        <w:t>основным видом деятельности которого является производство майонезной продукции.</w:t>
      </w:r>
    </w:p>
    <w:p w:rsidR="00435DA1" w:rsidRPr="00743A13" w:rsidRDefault="00435DA1" w:rsidP="00743A1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3A13">
        <w:rPr>
          <w:rFonts w:ascii="Times New Roman" w:hAnsi="Times New Roman" w:cs="Times New Roman"/>
          <w:sz w:val="28"/>
          <w:szCs w:val="28"/>
        </w:rPr>
        <w:t>Для оценки использования основных производственных фондов в ООО «Омский майонезный завод» рассмотрим период за 2016-2018 гг.:</w:t>
      </w:r>
    </w:p>
    <w:p w:rsidR="00435DA1" w:rsidRPr="00743A13" w:rsidRDefault="00435DA1" w:rsidP="00743A13">
      <w:pPr>
        <w:jc w:val="both"/>
        <w:rPr>
          <w:rFonts w:ascii="Times New Roman" w:hAnsi="Times New Roman" w:cs="Times New Roman"/>
          <w:sz w:val="28"/>
          <w:szCs w:val="28"/>
        </w:rPr>
      </w:pPr>
      <w:r w:rsidRPr="00743A13">
        <w:rPr>
          <w:rFonts w:ascii="Times New Roman" w:hAnsi="Times New Roman" w:cs="Times New Roman"/>
          <w:sz w:val="28"/>
          <w:szCs w:val="28"/>
        </w:rPr>
        <w:t>Таблица 1. Среднегодовая стоимость основных производственных фондов и их структура в ООО «Омский майонезный завод» за 2016-2018 гг.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86"/>
        <w:gridCol w:w="936"/>
        <w:gridCol w:w="1130"/>
        <w:gridCol w:w="936"/>
        <w:gridCol w:w="959"/>
        <w:gridCol w:w="1026"/>
        <w:gridCol w:w="845"/>
        <w:gridCol w:w="1836"/>
      </w:tblGrid>
      <w:tr w:rsidR="00435DA1" w:rsidRPr="00743A13" w:rsidTr="00435DA1">
        <w:trPr>
          <w:trHeight w:val="375"/>
        </w:trPr>
        <w:tc>
          <w:tcPr>
            <w:tcW w:w="2035" w:type="dxa"/>
            <w:vMerge w:val="restart"/>
          </w:tcPr>
          <w:p w:rsidR="00435DA1" w:rsidRPr="00743A13" w:rsidRDefault="00435DA1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Виды основных производственных фондов</w:t>
            </w:r>
          </w:p>
        </w:tc>
        <w:tc>
          <w:tcPr>
            <w:tcW w:w="1885" w:type="dxa"/>
            <w:gridSpan w:val="2"/>
          </w:tcPr>
          <w:p w:rsidR="00435DA1" w:rsidRPr="00743A13" w:rsidRDefault="00435DA1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885" w:type="dxa"/>
            <w:gridSpan w:val="2"/>
          </w:tcPr>
          <w:p w:rsidR="00435DA1" w:rsidRPr="00743A13" w:rsidRDefault="00435DA1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884" w:type="dxa"/>
            <w:gridSpan w:val="2"/>
          </w:tcPr>
          <w:p w:rsidR="00435DA1" w:rsidRPr="00743A13" w:rsidRDefault="00435DA1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82" w:type="dxa"/>
            <w:vMerge w:val="restart"/>
          </w:tcPr>
          <w:p w:rsidR="00435DA1" w:rsidRPr="00743A13" w:rsidRDefault="00435DA1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2018 в % к 2016 гг.</w:t>
            </w:r>
          </w:p>
        </w:tc>
      </w:tr>
      <w:tr w:rsidR="00743A13" w:rsidRPr="00743A13" w:rsidTr="00435DA1">
        <w:trPr>
          <w:trHeight w:val="435"/>
        </w:trPr>
        <w:tc>
          <w:tcPr>
            <w:tcW w:w="2035" w:type="dxa"/>
            <w:vMerge/>
          </w:tcPr>
          <w:p w:rsidR="00435DA1" w:rsidRPr="00743A13" w:rsidRDefault="00435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dxa"/>
          </w:tcPr>
          <w:p w:rsidR="00435DA1" w:rsidRPr="00743A13" w:rsidRDefault="00435DA1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51" w:type="dxa"/>
          </w:tcPr>
          <w:p w:rsidR="00435DA1" w:rsidRPr="00743A13" w:rsidRDefault="00435DA1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12" w:type="dxa"/>
          </w:tcPr>
          <w:p w:rsidR="00435DA1" w:rsidRPr="00743A13" w:rsidRDefault="00435DA1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973" w:type="dxa"/>
          </w:tcPr>
          <w:p w:rsidR="00435DA1" w:rsidRPr="00743A13" w:rsidRDefault="00435DA1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30" w:type="dxa"/>
          </w:tcPr>
          <w:p w:rsidR="00435DA1" w:rsidRPr="00743A13" w:rsidRDefault="00435DA1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854" w:type="dxa"/>
          </w:tcPr>
          <w:p w:rsidR="00435DA1" w:rsidRPr="00743A13" w:rsidRDefault="00435DA1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82" w:type="dxa"/>
            <w:vMerge/>
          </w:tcPr>
          <w:p w:rsidR="00435DA1" w:rsidRPr="00743A13" w:rsidRDefault="00435DA1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A13" w:rsidRPr="00743A13" w:rsidTr="00435DA1">
        <w:tc>
          <w:tcPr>
            <w:tcW w:w="2035" w:type="dxa"/>
          </w:tcPr>
          <w:p w:rsidR="00435DA1" w:rsidRPr="00743A13" w:rsidRDefault="00435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 xml:space="preserve">Здания, сооружения и </w:t>
            </w:r>
            <w:r w:rsidRPr="00743A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передаточные устройства</w:t>
            </w:r>
          </w:p>
        </w:tc>
        <w:tc>
          <w:tcPr>
            <w:tcW w:w="734" w:type="dxa"/>
          </w:tcPr>
          <w:p w:rsidR="00435DA1" w:rsidRPr="00743A13" w:rsidRDefault="00435DA1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90815</w:t>
            </w:r>
          </w:p>
        </w:tc>
        <w:tc>
          <w:tcPr>
            <w:tcW w:w="1151" w:type="dxa"/>
          </w:tcPr>
          <w:p w:rsidR="00435DA1" w:rsidRPr="00743A13" w:rsidRDefault="00435DA1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63,1</w:t>
            </w:r>
          </w:p>
        </w:tc>
        <w:tc>
          <w:tcPr>
            <w:tcW w:w="912" w:type="dxa"/>
          </w:tcPr>
          <w:p w:rsidR="00435DA1" w:rsidRPr="00743A13" w:rsidRDefault="00435DA1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89612</w:t>
            </w:r>
          </w:p>
        </w:tc>
        <w:tc>
          <w:tcPr>
            <w:tcW w:w="973" w:type="dxa"/>
          </w:tcPr>
          <w:p w:rsidR="00435DA1" w:rsidRPr="00743A13" w:rsidRDefault="00435DA1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62,6</w:t>
            </w:r>
          </w:p>
        </w:tc>
        <w:tc>
          <w:tcPr>
            <w:tcW w:w="1030" w:type="dxa"/>
          </w:tcPr>
          <w:p w:rsidR="00435DA1" w:rsidRPr="00743A13" w:rsidRDefault="00435DA1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89612</w:t>
            </w:r>
          </w:p>
        </w:tc>
        <w:tc>
          <w:tcPr>
            <w:tcW w:w="854" w:type="dxa"/>
          </w:tcPr>
          <w:p w:rsidR="00435DA1" w:rsidRPr="00743A13" w:rsidRDefault="00435DA1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60,9</w:t>
            </w:r>
          </w:p>
        </w:tc>
        <w:tc>
          <w:tcPr>
            <w:tcW w:w="1882" w:type="dxa"/>
          </w:tcPr>
          <w:p w:rsidR="00435DA1" w:rsidRPr="00743A13" w:rsidRDefault="00435DA1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98,6</w:t>
            </w:r>
          </w:p>
        </w:tc>
      </w:tr>
      <w:tr w:rsidR="00743A13" w:rsidRPr="00743A13" w:rsidTr="00435DA1">
        <w:tc>
          <w:tcPr>
            <w:tcW w:w="2035" w:type="dxa"/>
          </w:tcPr>
          <w:p w:rsidR="00435DA1" w:rsidRPr="00743A13" w:rsidRDefault="00435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Машины и оборудование</w:t>
            </w:r>
          </w:p>
        </w:tc>
        <w:tc>
          <w:tcPr>
            <w:tcW w:w="734" w:type="dxa"/>
          </w:tcPr>
          <w:p w:rsidR="00435DA1" w:rsidRPr="00743A13" w:rsidRDefault="00090AFC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35754</w:t>
            </w:r>
          </w:p>
        </w:tc>
        <w:tc>
          <w:tcPr>
            <w:tcW w:w="1151" w:type="dxa"/>
          </w:tcPr>
          <w:p w:rsidR="00435DA1" w:rsidRPr="00743A13" w:rsidRDefault="00090AFC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24,8</w:t>
            </w:r>
          </w:p>
        </w:tc>
        <w:tc>
          <w:tcPr>
            <w:tcW w:w="912" w:type="dxa"/>
          </w:tcPr>
          <w:p w:rsidR="00435DA1" w:rsidRPr="00743A13" w:rsidRDefault="00090AFC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35985</w:t>
            </w:r>
          </w:p>
        </w:tc>
        <w:tc>
          <w:tcPr>
            <w:tcW w:w="973" w:type="dxa"/>
          </w:tcPr>
          <w:p w:rsidR="00435DA1" w:rsidRPr="00743A13" w:rsidRDefault="00090AFC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25,2</w:t>
            </w:r>
          </w:p>
        </w:tc>
        <w:tc>
          <w:tcPr>
            <w:tcW w:w="1030" w:type="dxa"/>
          </w:tcPr>
          <w:p w:rsidR="00435DA1" w:rsidRPr="00743A13" w:rsidRDefault="00090AFC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40032</w:t>
            </w:r>
          </w:p>
        </w:tc>
        <w:tc>
          <w:tcPr>
            <w:tcW w:w="854" w:type="dxa"/>
          </w:tcPr>
          <w:p w:rsidR="00435DA1" w:rsidRPr="00743A13" w:rsidRDefault="00090AFC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27,2</w:t>
            </w:r>
          </w:p>
        </w:tc>
        <w:tc>
          <w:tcPr>
            <w:tcW w:w="1882" w:type="dxa"/>
          </w:tcPr>
          <w:p w:rsidR="00435DA1" w:rsidRPr="00743A13" w:rsidRDefault="00090AFC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</w:tr>
      <w:tr w:rsidR="00743A13" w:rsidRPr="00743A13" w:rsidTr="00435DA1">
        <w:tc>
          <w:tcPr>
            <w:tcW w:w="2035" w:type="dxa"/>
          </w:tcPr>
          <w:p w:rsidR="00435DA1" w:rsidRPr="00743A13" w:rsidRDefault="00435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средства </w:t>
            </w:r>
          </w:p>
        </w:tc>
        <w:tc>
          <w:tcPr>
            <w:tcW w:w="734" w:type="dxa"/>
          </w:tcPr>
          <w:p w:rsidR="00435DA1" w:rsidRPr="00743A13" w:rsidRDefault="00090AFC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3995</w:t>
            </w:r>
          </w:p>
        </w:tc>
        <w:tc>
          <w:tcPr>
            <w:tcW w:w="1151" w:type="dxa"/>
          </w:tcPr>
          <w:p w:rsidR="00435DA1" w:rsidRPr="00743A13" w:rsidRDefault="00090AFC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912" w:type="dxa"/>
          </w:tcPr>
          <w:p w:rsidR="00435DA1" w:rsidRPr="00743A13" w:rsidRDefault="00090AFC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4052</w:t>
            </w:r>
          </w:p>
        </w:tc>
        <w:tc>
          <w:tcPr>
            <w:tcW w:w="973" w:type="dxa"/>
          </w:tcPr>
          <w:p w:rsidR="00435DA1" w:rsidRPr="00743A13" w:rsidRDefault="00090AFC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030" w:type="dxa"/>
          </w:tcPr>
          <w:p w:rsidR="00435DA1" w:rsidRPr="00743A13" w:rsidRDefault="00090AFC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4052</w:t>
            </w:r>
          </w:p>
        </w:tc>
        <w:tc>
          <w:tcPr>
            <w:tcW w:w="854" w:type="dxa"/>
          </w:tcPr>
          <w:p w:rsidR="00435DA1" w:rsidRPr="00743A13" w:rsidRDefault="00090AFC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882" w:type="dxa"/>
          </w:tcPr>
          <w:p w:rsidR="00435DA1" w:rsidRPr="00743A13" w:rsidRDefault="00090AFC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101,4</w:t>
            </w:r>
          </w:p>
        </w:tc>
      </w:tr>
      <w:tr w:rsidR="00743A13" w:rsidRPr="00743A13" w:rsidTr="00435DA1">
        <w:tc>
          <w:tcPr>
            <w:tcW w:w="2035" w:type="dxa"/>
          </w:tcPr>
          <w:p w:rsidR="00435DA1" w:rsidRPr="00743A13" w:rsidRDefault="00435DA1" w:rsidP="00435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Производственный и хозяйственный инвентарь</w:t>
            </w:r>
          </w:p>
        </w:tc>
        <w:tc>
          <w:tcPr>
            <w:tcW w:w="734" w:type="dxa"/>
          </w:tcPr>
          <w:p w:rsidR="00435DA1" w:rsidRPr="00743A13" w:rsidRDefault="00090AFC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  <w:tc>
          <w:tcPr>
            <w:tcW w:w="1151" w:type="dxa"/>
          </w:tcPr>
          <w:p w:rsidR="00435DA1" w:rsidRPr="00743A13" w:rsidRDefault="00090AFC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12" w:type="dxa"/>
          </w:tcPr>
          <w:p w:rsidR="00435DA1" w:rsidRPr="00743A13" w:rsidRDefault="00090AFC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  <w:tc>
          <w:tcPr>
            <w:tcW w:w="973" w:type="dxa"/>
          </w:tcPr>
          <w:p w:rsidR="00435DA1" w:rsidRPr="00743A13" w:rsidRDefault="00090AFC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30" w:type="dxa"/>
          </w:tcPr>
          <w:p w:rsidR="00435DA1" w:rsidRPr="00743A13" w:rsidRDefault="00090AFC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  <w:tc>
          <w:tcPr>
            <w:tcW w:w="854" w:type="dxa"/>
          </w:tcPr>
          <w:p w:rsidR="00435DA1" w:rsidRPr="00743A13" w:rsidRDefault="00090AFC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82" w:type="dxa"/>
          </w:tcPr>
          <w:p w:rsidR="00435DA1" w:rsidRPr="00743A13" w:rsidRDefault="00090AFC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3A13" w:rsidRPr="00743A13" w:rsidTr="00435DA1">
        <w:tc>
          <w:tcPr>
            <w:tcW w:w="2035" w:type="dxa"/>
          </w:tcPr>
          <w:p w:rsidR="00435DA1" w:rsidRPr="00743A13" w:rsidRDefault="00435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734" w:type="dxa"/>
          </w:tcPr>
          <w:p w:rsidR="00435DA1" w:rsidRPr="00743A13" w:rsidRDefault="00090AFC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12811</w:t>
            </w:r>
          </w:p>
        </w:tc>
        <w:tc>
          <w:tcPr>
            <w:tcW w:w="1151" w:type="dxa"/>
          </w:tcPr>
          <w:p w:rsidR="00435DA1" w:rsidRPr="00743A13" w:rsidRDefault="00090AFC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912" w:type="dxa"/>
          </w:tcPr>
          <w:p w:rsidR="00435DA1" w:rsidRPr="00743A13" w:rsidRDefault="00090AFC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12833</w:t>
            </w:r>
          </w:p>
        </w:tc>
        <w:tc>
          <w:tcPr>
            <w:tcW w:w="973" w:type="dxa"/>
          </w:tcPr>
          <w:p w:rsidR="00435DA1" w:rsidRPr="00743A13" w:rsidRDefault="00090AFC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1030" w:type="dxa"/>
          </w:tcPr>
          <w:p w:rsidR="00435DA1" w:rsidRPr="00743A13" w:rsidRDefault="00090AFC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12892</w:t>
            </w:r>
          </w:p>
        </w:tc>
        <w:tc>
          <w:tcPr>
            <w:tcW w:w="854" w:type="dxa"/>
          </w:tcPr>
          <w:p w:rsidR="00435DA1" w:rsidRPr="00743A13" w:rsidRDefault="00090AFC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882" w:type="dxa"/>
          </w:tcPr>
          <w:p w:rsidR="00435DA1" w:rsidRPr="00743A13" w:rsidRDefault="00090AFC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</w:tr>
      <w:tr w:rsidR="00743A13" w:rsidRPr="00743A13" w:rsidTr="00435DA1">
        <w:tc>
          <w:tcPr>
            <w:tcW w:w="2035" w:type="dxa"/>
          </w:tcPr>
          <w:p w:rsidR="00435DA1" w:rsidRPr="00743A13" w:rsidRDefault="00435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Основные средства (без учета доходных вложений в материальные ценности)- всего</w:t>
            </w:r>
          </w:p>
        </w:tc>
        <w:tc>
          <w:tcPr>
            <w:tcW w:w="734" w:type="dxa"/>
          </w:tcPr>
          <w:p w:rsidR="00435DA1" w:rsidRPr="00743A13" w:rsidRDefault="00090AFC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144049</w:t>
            </w:r>
          </w:p>
        </w:tc>
        <w:tc>
          <w:tcPr>
            <w:tcW w:w="1151" w:type="dxa"/>
          </w:tcPr>
          <w:p w:rsidR="00435DA1" w:rsidRPr="00743A13" w:rsidRDefault="00090AFC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2" w:type="dxa"/>
          </w:tcPr>
          <w:p w:rsidR="00435DA1" w:rsidRPr="00743A13" w:rsidRDefault="00090AFC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143154</w:t>
            </w:r>
          </w:p>
        </w:tc>
        <w:tc>
          <w:tcPr>
            <w:tcW w:w="973" w:type="dxa"/>
          </w:tcPr>
          <w:p w:rsidR="00435DA1" w:rsidRPr="00743A13" w:rsidRDefault="00090AFC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30" w:type="dxa"/>
          </w:tcPr>
          <w:p w:rsidR="00435DA1" w:rsidRPr="00743A13" w:rsidRDefault="00090AFC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147260</w:t>
            </w:r>
          </w:p>
        </w:tc>
        <w:tc>
          <w:tcPr>
            <w:tcW w:w="854" w:type="dxa"/>
          </w:tcPr>
          <w:p w:rsidR="00435DA1" w:rsidRPr="00743A13" w:rsidRDefault="00090AFC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82" w:type="dxa"/>
          </w:tcPr>
          <w:p w:rsidR="00435DA1" w:rsidRPr="00743A13" w:rsidRDefault="00090AFC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102,2</w:t>
            </w:r>
          </w:p>
        </w:tc>
      </w:tr>
    </w:tbl>
    <w:p w:rsidR="00435DA1" w:rsidRPr="00743A13" w:rsidRDefault="00090AFC" w:rsidP="00743A1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3A13">
        <w:rPr>
          <w:rFonts w:ascii="Times New Roman" w:hAnsi="Times New Roman" w:cs="Times New Roman"/>
          <w:sz w:val="28"/>
          <w:szCs w:val="28"/>
        </w:rPr>
        <w:t>Данные таблицы показывают, что за анализируемый период 2016-2018 гг. происходит уменьшение удельного веса зданий. Сооружений и передаточных устройств. В 2018 г. их доля составляет 60,9 %. По сравнению с 2016 г. в 2018 г. увеличивается доля машин и оборудований на 12 %, из-за чего происходит возрастание общей суммы основных производственных фондов на 2,2% или 4106 тыс. руб.</w:t>
      </w:r>
    </w:p>
    <w:p w:rsidR="00090AFC" w:rsidRPr="00743A13" w:rsidRDefault="00090AFC" w:rsidP="00743A1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3A13">
        <w:rPr>
          <w:rFonts w:ascii="Times New Roman" w:hAnsi="Times New Roman" w:cs="Times New Roman"/>
          <w:sz w:val="28"/>
          <w:szCs w:val="28"/>
        </w:rPr>
        <w:t>Динамику эффективности использования основных производственных фондов характеризуют такие показатели как коэффициент обновления, коэффициент выбытия, коэффициент износа, среднемесячная и среднегодовая суммы амортизации и коэффициент прироста.</w:t>
      </w:r>
    </w:p>
    <w:p w:rsidR="00090AFC" w:rsidRPr="00743A13" w:rsidRDefault="00090AFC" w:rsidP="00743A13">
      <w:pPr>
        <w:jc w:val="both"/>
        <w:rPr>
          <w:rFonts w:ascii="Times New Roman" w:hAnsi="Times New Roman" w:cs="Times New Roman"/>
          <w:sz w:val="28"/>
          <w:szCs w:val="28"/>
        </w:rPr>
      </w:pPr>
      <w:r w:rsidRPr="00743A13">
        <w:rPr>
          <w:rFonts w:ascii="Times New Roman" w:hAnsi="Times New Roman" w:cs="Times New Roman"/>
          <w:sz w:val="28"/>
          <w:szCs w:val="28"/>
        </w:rPr>
        <w:t>Таблица 2. Динамика эффективности движения основных производственных фондов в ООО «Омский майонезный завод»</w:t>
      </w:r>
      <w:r w:rsidR="00DA29EE" w:rsidRPr="00743A13">
        <w:rPr>
          <w:rFonts w:ascii="Times New Roman" w:hAnsi="Times New Roman" w:cs="Times New Roman"/>
          <w:sz w:val="28"/>
          <w:szCs w:val="28"/>
        </w:rPr>
        <w:t xml:space="preserve"> за 2016-2018 гг.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33"/>
        <w:gridCol w:w="1914"/>
        <w:gridCol w:w="1914"/>
        <w:gridCol w:w="1914"/>
        <w:gridCol w:w="1915"/>
      </w:tblGrid>
      <w:tr w:rsidR="00DA29EE" w:rsidRPr="00743A13" w:rsidTr="00DA29EE">
        <w:tc>
          <w:tcPr>
            <w:tcW w:w="1914" w:type="dxa"/>
          </w:tcPr>
          <w:p w:rsidR="00DA29EE" w:rsidRPr="00743A13" w:rsidRDefault="00DA29EE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Показатели основных производственных фондов</w:t>
            </w:r>
          </w:p>
        </w:tc>
        <w:tc>
          <w:tcPr>
            <w:tcW w:w="1914" w:type="dxa"/>
          </w:tcPr>
          <w:p w:rsidR="00DA29EE" w:rsidRPr="00743A13" w:rsidRDefault="00DA29EE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2016г.</w:t>
            </w:r>
          </w:p>
        </w:tc>
        <w:tc>
          <w:tcPr>
            <w:tcW w:w="1914" w:type="dxa"/>
          </w:tcPr>
          <w:p w:rsidR="00DA29EE" w:rsidRPr="00743A13" w:rsidRDefault="00DA29EE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2017г.</w:t>
            </w:r>
          </w:p>
        </w:tc>
        <w:tc>
          <w:tcPr>
            <w:tcW w:w="1914" w:type="dxa"/>
          </w:tcPr>
          <w:p w:rsidR="00DA29EE" w:rsidRPr="00743A13" w:rsidRDefault="00DA29EE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2018г.</w:t>
            </w:r>
          </w:p>
        </w:tc>
        <w:tc>
          <w:tcPr>
            <w:tcW w:w="1915" w:type="dxa"/>
          </w:tcPr>
          <w:p w:rsidR="00DA29EE" w:rsidRPr="00743A13" w:rsidRDefault="00DA29EE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2018 в % к 2016 гг.</w:t>
            </w:r>
          </w:p>
        </w:tc>
      </w:tr>
      <w:tr w:rsidR="00DA29EE" w:rsidRPr="00743A13" w:rsidTr="00DA29EE">
        <w:tc>
          <w:tcPr>
            <w:tcW w:w="1914" w:type="dxa"/>
          </w:tcPr>
          <w:p w:rsidR="00DA29EE" w:rsidRPr="00743A13" w:rsidRDefault="00DA2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Коэффициент физического износа</w:t>
            </w:r>
          </w:p>
        </w:tc>
        <w:tc>
          <w:tcPr>
            <w:tcW w:w="1914" w:type="dxa"/>
          </w:tcPr>
          <w:p w:rsidR="00DA29EE" w:rsidRPr="00743A13" w:rsidRDefault="00DA29EE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0,67</w:t>
            </w:r>
          </w:p>
        </w:tc>
        <w:tc>
          <w:tcPr>
            <w:tcW w:w="1914" w:type="dxa"/>
          </w:tcPr>
          <w:p w:rsidR="00DA29EE" w:rsidRPr="00743A13" w:rsidRDefault="00DA29EE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0,014</w:t>
            </w:r>
          </w:p>
        </w:tc>
        <w:tc>
          <w:tcPr>
            <w:tcW w:w="1914" w:type="dxa"/>
          </w:tcPr>
          <w:p w:rsidR="00DA29EE" w:rsidRPr="00743A13" w:rsidRDefault="00DA29EE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0,021</w:t>
            </w:r>
          </w:p>
        </w:tc>
        <w:tc>
          <w:tcPr>
            <w:tcW w:w="1915" w:type="dxa"/>
          </w:tcPr>
          <w:p w:rsidR="00DA29EE" w:rsidRPr="00743A13" w:rsidRDefault="00DA29EE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0,032</w:t>
            </w:r>
          </w:p>
        </w:tc>
      </w:tr>
      <w:tr w:rsidR="00DA29EE" w:rsidRPr="00743A13" w:rsidTr="00DA29EE">
        <w:tc>
          <w:tcPr>
            <w:tcW w:w="1914" w:type="dxa"/>
          </w:tcPr>
          <w:p w:rsidR="00DA29EE" w:rsidRPr="00743A13" w:rsidRDefault="00DA2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Коэффициент обновления</w:t>
            </w:r>
          </w:p>
        </w:tc>
        <w:tc>
          <w:tcPr>
            <w:tcW w:w="1914" w:type="dxa"/>
          </w:tcPr>
          <w:p w:rsidR="00DA29EE" w:rsidRPr="00743A13" w:rsidRDefault="00DA29EE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0,019</w:t>
            </w:r>
          </w:p>
        </w:tc>
        <w:tc>
          <w:tcPr>
            <w:tcW w:w="1914" w:type="dxa"/>
          </w:tcPr>
          <w:p w:rsidR="00DA29EE" w:rsidRPr="00743A13" w:rsidRDefault="00DA29EE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914" w:type="dxa"/>
          </w:tcPr>
          <w:p w:rsidR="00DA29EE" w:rsidRPr="00743A13" w:rsidRDefault="00DA29EE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0,028</w:t>
            </w:r>
          </w:p>
        </w:tc>
        <w:tc>
          <w:tcPr>
            <w:tcW w:w="1915" w:type="dxa"/>
          </w:tcPr>
          <w:p w:rsidR="00DA29EE" w:rsidRPr="00743A13" w:rsidRDefault="00DA29EE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DA29EE" w:rsidRPr="00743A13" w:rsidTr="00DA29EE">
        <w:tc>
          <w:tcPr>
            <w:tcW w:w="1914" w:type="dxa"/>
          </w:tcPr>
          <w:p w:rsidR="00DA29EE" w:rsidRPr="00743A13" w:rsidRDefault="00DA2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Коэффициент выбытия</w:t>
            </w:r>
          </w:p>
        </w:tc>
        <w:tc>
          <w:tcPr>
            <w:tcW w:w="1914" w:type="dxa"/>
          </w:tcPr>
          <w:p w:rsidR="00DA29EE" w:rsidRPr="00743A13" w:rsidRDefault="00DA29EE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0,025</w:t>
            </w:r>
          </w:p>
        </w:tc>
        <w:tc>
          <w:tcPr>
            <w:tcW w:w="1914" w:type="dxa"/>
          </w:tcPr>
          <w:p w:rsidR="00DA29EE" w:rsidRPr="00743A13" w:rsidRDefault="00DA29EE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0,012</w:t>
            </w:r>
          </w:p>
        </w:tc>
        <w:tc>
          <w:tcPr>
            <w:tcW w:w="1914" w:type="dxa"/>
          </w:tcPr>
          <w:p w:rsidR="00DA29EE" w:rsidRPr="00743A13" w:rsidRDefault="00DA29EE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5" w:type="dxa"/>
          </w:tcPr>
          <w:p w:rsidR="00DA29EE" w:rsidRPr="00743A13" w:rsidRDefault="00DA29EE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A29EE" w:rsidRPr="00743A13" w:rsidTr="00DA29EE">
        <w:tc>
          <w:tcPr>
            <w:tcW w:w="1914" w:type="dxa"/>
          </w:tcPr>
          <w:p w:rsidR="00DA29EE" w:rsidRPr="00743A13" w:rsidRDefault="00DA2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Коэффициент прироста</w:t>
            </w:r>
          </w:p>
        </w:tc>
        <w:tc>
          <w:tcPr>
            <w:tcW w:w="1914" w:type="dxa"/>
          </w:tcPr>
          <w:p w:rsidR="00DA29EE" w:rsidRPr="00743A13" w:rsidRDefault="00DA29EE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0,019</w:t>
            </w:r>
          </w:p>
        </w:tc>
        <w:tc>
          <w:tcPr>
            <w:tcW w:w="1914" w:type="dxa"/>
          </w:tcPr>
          <w:p w:rsidR="00DA29EE" w:rsidRPr="00743A13" w:rsidRDefault="00DA29EE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914" w:type="dxa"/>
          </w:tcPr>
          <w:p w:rsidR="00DA29EE" w:rsidRPr="00743A13" w:rsidRDefault="00DA29EE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0,029</w:t>
            </w:r>
          </w:p>
        </w:tc>
        <w:tc>
          <w:tcPr>
            <w:tcW w:w="1915" w:type="dxa"/>
          </w:tcPr>
          <w:p w:rsidR="00DA29EE" w:rsidRPr="00743A13" w:rsidRDefault="00DA29EE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</w:tbl>
    <w:p w:rsidR="00DA29EE" w:rsidRPr="00743A13" w:rsidRDefault="00DA29EE" w:rsidP="00743A1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3A13">
        <w:rPr>
          <w:rFonts w:ascii="Times New Roman" w:hAnsi="Times New Roman" w:cs="Times New Roman"/>
          <w:sz w:val="28"/>
          <w:szCs w:val="28"/>
        </w:rPr>
        <w:lastRenderedPageBreak/>
        <w:t xml:space="preserve">Из данных таблицы видно, что самое значительное выбытие основных фондов произошло в 2016 году – 0,025%. В 2018 году происходит обновление основных фондов на 1,5%, увеличивается также на 1,5% коэффициент прироста, и соответственно уменьшается </w:t>
      </w:r>
      <w:r w:rsidR="00EC59C3" w:rsidRPr="00743A13">
        <w:rPr>
          <w:rFonts w:ascii="Times New Roman" w:hAnsi="Times New Roman" w:cs="Times New Roman"/>
          <w:sz w:val="28"/>
          <w:szCs w:val="28"/>
        </w:rPr>
        <w:t>коэффициент их физического износа на 0,032%.</w:t>
      </w:r>
    </w:p>
    <w:p w:rsidR="00EC59C3" w:rsidRPr="00743A13" w:rsidRDefault="00EC59C3" w:rsidP="00743A1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3A13">
        <w:rPr>
          <w:rFonts w:ascii="Times New Roman" w:hAnsi="Times New Roman" w:cs="Times New Roman"/>
          <w:sz w:val="28"/>
          <w:szCs w:val="28"/>
        </w:rPr>
        <w:t xml:space="preserve">К обобщающим показателям эффективности использования основных фондов следует отнести показатели фондоотдачи, </w:t>
      </w:r>
      <w:proofErr w:type="spellStart"/>
      <w:r w:rsidRPr="00743A13">
        <w:rPr>
          <w:rFonts w:ascii="Times New Roman" w:hAnsi="Times New Roman" w:cs="Times New Roman"/>
          <w:sz w:val="28"/>
          <w:szCs w:val="28"/>
        </w:rPr>
        <w:t>фондорентабельности</w:t>
      </w:r>
      <w:proofErr w:type="spellEnd"/>
      <w:r w:rsidRPr="00743A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43A13">
        <w:rPr>
          <w:rFonts w:ascii="Times New Roman" w:hAnsi="Times New Roman" w:cs="Times New Roman"/>
          <w:sz w:val="28"/>
          <w:szCs w:val="28"/>
        </w:rPr>
        <w:t>фондоемкости</w:t>
      </w:r>
      <w:proofErr w:type="spellEnd"/>
      <w:r w:rsidRPr="00743A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43A13">
        <w:rPr>
          <w:rFonts w:ascii="Times New Roman" w:hAnsi="Times New Roman" w:cs="Times New Roman"/>
          <w:sz w:val="28"/>
          <w:szCs w:val="28"/>
        </w:rPr>
        <w:t>фондовооруженности</w:t>
      </w:r>
      <w:proofErr w:type="spellEnd"/>
      <w:r w:rsidRPr="00743A13">
        <w:rPr>
          <w:rFonts w:ascii="Times New Roman" w:hAnsi="Times New Roman" w:cs="Times New Roman"/>
          <w:sz w:val="28"/>
          <w:szCs w:val="28"/>
        </w:rPr>
        <w:t>.</w:t>
      </w:r>
    </w:p>
    <w:p w:rsidR="00EC59C3" w:rsidRPr="00743A13" w:rsidRDefault="00EC59C3" w:rsidP="00743A13">
      <w:pPr>
        <w:jc w:val="both"/>
        <w:rPr>
          <w:rFonts w:ascii="Times New Roman" w:hAnsi="Times New Roman" w:cs="Times New Roman"/>
          <w:sz w:val="28"/>
          <w:szCs w:val="28"/>
        </w:rPr>
      </w:pPr>
      <w:r w:rsidRPr="00743A13">
        <w:rPr>
          <w:rFonts w:ascii="Times New Roman" w:hAnsi="Times New Roman" w:cs="Times New Roman"/>
          <w:sz w:val="28"/>
          <w:szCs w:val="28"/>
        </w:rPr>
        <w:t>Таблица 3. Показатели обеспеченности и эффективности использования основных производственных фондов в ООО «Омский майонезный завод» за 2016-2018 гг.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50"/>
        <w:gridCol w:w="1775"/>
        <w:gridCol w:w="1776"/>
        <w:gridCol w:w="1776"/>
        <w:gridCol w:w="1777"/>
      </w:tblGrid>
      <w:tr w:rsidR="00743A13" w:rsidRPr="00743A13" w:rsidTr="00EC59C3">
        <w:tc>
          <w:tcPr>
            <w:tcW w:w="1914" w:type="dxa"/>
          </w:tcPr>
          <w:p w:rsidR="00EC59C3" w:rsidRPr="00743A13" w:rsidRDefault="0046664B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Показатели эффективности использования основных производственных фондов</w:t>
            </w:r>
          </w:p>
        </w:tc>
        <w:tc>
          <w:tcPr>
            <w:tcW w:w="1914" w:type="dxa"/>
          </w:tcPr>
          <w:p w:rsidR="00EC59C3" w:rsidRPr="00743A13" w:rsidRDefault="0046664B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2016 г.</w:t>
            </w:r>
          </w:p>
        </w:tc>
        <w:tc>
          <w:tcPr>
            <w:tcW w:w="1914" w:type="dxa"/>
          </w:tcPr>
          <w:p w:rsidR="00EC59C3" w:rsidRPr="00743A13" w:rsidRDefault="0046664B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2017 г.</w:t>
            </w:r>
          </w:p>
        </w:tc>
        <w:tc>
          <w:tcPr>
            <w:tcW w:w="1914" w:type="dxa"/>
          </w:tcPr>
          <w:p w:rsidR="00EC59C3" w:rsidRPr="00743A13" w:rsidRDefault="0046664B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1915" w:type="dxa"/>
          </w:tcPr>
          <w:p w:rsidR="00EC59C3" w:rsidRPr="00743A13" w:rsidRDefault="0046664B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2018 в % к 2016 гг.</w:t>
            </w:r>
          </w:p>
        </w:tc>
      </w:tr>
      <w:tr w:rsidR="00743A13" w:rsidRPr="00743A13" w:rsidTr="00EC59C3">
        <w:tc>
          <w:tcPr>
            <w:tcW w:w="1914" w:type="dxa"/>
          </w:tcPr>
          <w:p w:rsidR="00EC59C3" w:rsidRPr="00743A13" w:rsidRDefault="0046664B" w:rsidP="00743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Фондовооруженность</w:t>
            </w:r>
            <w:proofErr w:type="spellEnd"/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, тыс. руб.</w:t>
            </w:r>
          </w:p>
        </w:tc>
        <w:tc>
          <w:tcPr>
            <w:tcW w:w="1914" w:type="dxa"/>
          </w:tcPr>
          <w:p w:rsidR="00EC59C3" w:rsidRPr="00743A13" w:rsidRDefault="0046664B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865,4</w:t>
            </w:r>
          </w:p>
        </w:tc>
        <w:tc>
          <w:tcPr>
            <w:tcW w:w="1914" w:type="dxa"/>
          </w:tcPr>
          <w:p w:rsidR="00EC59C3" w:rsidRPr="00743A13" w:rsidRDefault="0046664B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944,4</w:t>
            </w:r>
          </w:p>
        </w:tc>
        <w:tc>
          <w:tcPr>
            <w:tcW w:w="1914" w:type="dxa"/>
          </w:tcPr>
          <w:p w:rsidR="00EC59C3" w:rsidRPr="00743A13" w:rsidRDefault="0046664B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988,3</w:t>
            </w:r>
          </w:p>
        </w:tc>
        <w:tc>
          <w:tcPr>
            <w:tcW w:w="1915" w:type="dxa"/>
          </w:tcPr>
          <w:p w:rsidR="00EC59C3" w:rsidRPr="00743A13" w:rsidRDefault="0046664B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114,2</w:t>
            </w:r>
          </w:p>
        </w:tc>
      </w:tr>
      <w:tr w:rsidR="00743A13" w:rsidRPr="00743A13" w:rsidTr="00EC59C3">
        <w:tc>
          <w:tcPr>
            <w:tcW w:w="1914" w:type="dxa"/>
          </w:tcPr>
          <w:p w:rsidR="00EC59C3" w:rsidRPr="00743A13" w:rsidRDefault="0046664B" w:rsidP="00743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Фондоотдача, тыс. руб.</w:t>
            </w:r>
          </w:p>
        </w:tc>
        <w:tc>
          <w:tcPr>
            <w:tcW w:w="1914" w:type="dxa"/>
          </w:tcPr>
          <w:p w:rsidR="00EC59C3" w:rsidRPr="00743A13" w:rsidRDefault="0046664B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59,3</w:t>
            </w:r>
          </w:p>
        </w:tc>
        <w:tc>
          <w:tcPr>
            <w:tcW w:w="1914" w:type="dxa"/>
          </w:tcPr>
          <w:p w:rsidR="00EC59C3" w:rsidRPr="00743A13" w:rsidRDefault="0046664B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51,6</w:t>
            </w:r>
          </w:p>
        </w:tc>
        <w:tc>
          <w:tcPr>
            <w:tcW w:w="1914" w:type="dxa"/>
          </w:tcPr>
          <w:p w:rsidR="00EC59C3" w:rsidRPr="00743A13" w:rsidRDefault="0046664B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61,4</w:t>
            </w:r>
          </w:p>
        </w:tc>
        <w:tc>
          <w:tcPr>
            <w:tcW w:w="1915" w:type="dxa"/>
          </w:tcPr>
          <w:p w:rsidR="00EC59C3" w:rsidRPr="00743A13" w:rsidRDefault="0046664B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103,5</w:t>
            </w:r>
          </w:p>
        </w:tc>
      </w:tr>
      <w:tr w:rsidR="00743A13" w:rsidRPr="00743A13" w:rsidTr="00EC59C3">
        <w:tc>
          <w:tcPr>
            <w:tcW w:w="1914" w:type="dxa"/>
          </w:tcPr>
          <w:p w:rsidR="00EC59C3" w:rsidRPr="00743A13" w:rsidRDefault="0046664B" w:rsidP="00743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Фондоемкость</w:t>
            </w:r>
            <w:proofErr w:type="spellEnd"/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, тыс. руб.</w:t>
            </w:r>
          </w:p>
        </w:tc>
        <w:tc>
          <w:tcPr>
            <w:tcW w:w="1914" w:type="dxa"/>
          </w:tcPr>
          <w:p w:rsidR="00EC59C3" w:rsidRPr="00743A13" w:rsidRDefault="0046664B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168,7</w:t>
            </w:r>
          </w:p>
        </w:tc>
        <w:tc>
          <w:tcPr>
            <w:tcW w:w="1914" w:type="dxa"/>
          </w:tcPr>
          <w:p w:rsidR="00EC59C3" w:rsidRPr="00743A13" w:rsidRDefault="0046664B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193,8</w:t>
            </w:r>
          </w:p>
        </w:tc>
        <w:tc>
          <w:tcPr>
            <w:tcW w:w="1914" w:type="dxa"/>
          </w:tcPr>
          <w:p w:rsidR="00EC59C3" w:rsidRPr="00743A13" w:rsidRDefault="0046664B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162,8</w:t>
            </w:r>
          </w:p>
        </w:tc>
        <w:tc>
          <w:tcPr>
            <w:tcW w:w="1915" w:type="dxa"/>
          </w:tcPr>
          <w:p w:rsidR="00EC59C3" w:rsidRPr="00743A13" w:rsidRDefault="0046664B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96,5</w:t>
            </w:r>
          </w:p>
        </w:tc>
      </w:tr>
      <w:tr w:rsidR="00743A13" w:rsidRPr="00743A13" w:rsidTr="00EC59C3">
        <w:tc>
          <w:tcPr>
            <w:tcW w:w="1914" w:type="dxa"/>
          </w:tcPr>
          <w:p w:rsidR="00EC59C3" w:rsidRPr="00743A13" w:rsidRDefault="0046664B" w:rsidP="00743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Фондорентабельность</w:t>
            </w:r>
            <w:proofErr w:type="spellEnd"/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,%</w:t>
            </w:r>
          </w:p>
        </w:tc>
        <w:tc>
          <w:tcPr>
            <w:tcW w:w="1914" w:type="dxa"/>
          </w:tcPr>
          <w:p w:rsidR="00EC59C3" w:rsidRPr="00743A13" w:rsidRDefault="0046664B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0,11</w:t>
            </w:r>
          </w:p>
        </w:tc>
        <w:tc>
          <w:tcPr>
            <w:tcW w:w="1914" w:type="dxa"/>
          </w:tcPr>
          <w:p w:rsidR="00EC59C3" w:rsidRPr="00743A13" w:rsidRDefault="0046664B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0,13</w:t>
            </w:r>
          </w:p>
        </w:tc>
        <w:tc>
          <w:tcPr>
            <w:tcW w:w="1914" w:type="dxa"/>
          </w:tcPr>
          <w:p w:rsidR="00EC59C3" w:rsidRPr="00743A13" w:rsidRDefault="0046664B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0,22</w:t>
            </w:r>
          </w:p>
        </w:tc>
        <w:tc>
          <w:tcPr>
            <w:tcW w:w="1915" w:type="dxa"/>
          </w:tcPr>
          <w:p w:rsidR="00EC59C3" w:rsidRPr="00743A13" w:rsidRDefault="0046664B" w:rsidP="0074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EC59C3" w:rsidRPr="00743A13" w:rsidRDefault="0046664B" w:rsidP="00743A1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3A13">
        <w:rPr>
          <w:rFonts w:ascii="Times New Roman" w:hAnsi="Times New Roman" w:cs="Times New Roman"/>
          <w:sz w:val="28"/>
          <w:szCs w:val="28"/>
        </w:rPr>
        <w:t xml:space="preserve">Анализируя данные таблицы 3 можно сделать вывод, что за последние три года </w:t>
      </w:r>
      <w:proofErr w:type="spellStart"/>
      <w:r w:rsidRPr="00743A13">
        <w:rPr>
          <w:rFonts w:ascii="Times New Roman" w:hAnsi="Times New Roman" w:cs="Times New Roman"/>
          <w:sz w:val="28"/>
          <w:szCs w:val="28"/>
        </w:rPr>
        <w:t>фондовооруженность</w:t>
      </w:r>
      <w:proofErr w:type="spellEnd"/>
      <w:r w:rsidRPr="00743A13">
        <w:rPr>
          <w:rFonts w:ascii="Times New Roman" w:hAnsi="Times New Roman" w:cs="Times New Roman"/>
          <w:sz w:val="28"/>
          <w:szCs w:val="28"/>
        </w:rPr>
        <w:t xml:space="preserve"> увеличилась на 14,2%. В 2018 г. </w:t>
      </w:r>
      <w:r w:rsidR="00AA7B81" w:rsidRPr="00743A13">
        <w:rPr>
          <w:rFonts w:ascii="Times New Roman" w:hAnsi="Times New Roman" w:cs="Times New Roman"/>
          <w:sz w:val="28"/>
          <w:szCs w:val="28"/>
        </w:rPr>
        <w:t xml:space="preserve">фондоотдача повысилась на 3,5% , снизилась </w:t>
      </w:r>
      <w:proofErr w:type="spellStart"/>
      <w:r w:rsidR="00AA7B81" w:rsidRPr="00743A13">
        <w:rPr>
          <w:rFonts w:ascii="Times New Roman" w:hAnsi="Times New Roman" w:cs="Times New Roman"/>
          <w:sz w:val="28"/>
          <w:szCs w:val="28"/>
        </w:rPr>
        <w:t>фондоемкость</w:t>
      </w:r>
      <w:proofErr w:type="spellEnd"/>
      <w:r w:rsidR="00AA7B81" w:rsidRPr="00743A13">
        <w:rPr>
          <w:rFonts w:ascii="Times New Roman" w:hAnsi="Times New Roman" w:cs="Times New Roman"/>
          <w:sz w:val="28"/>
          <w:szCs w:val="28"/>
        </w:rPr>
        <w:t xml:space="preserve"> на 3,5%, что означает рост эффективности организации производственного процесса.</w:t>
      </w:r>
    </w:p>
    <w:p w:rsidR="00AA7B81" w:rsidRPr="00743A13" w:rsidRDefault="00AA7B81" w:rsidP="00743A1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3A13">
        <w:rPr>
          <w:rFonts w:ascii="Times New Roman" w:hAnsi="Times New Roman" w:cs="Times New Roman"/>
          <w:sz w:val="28"/>
          <w:szCs w:val="28"/>
        </w:rPr>
        <w:t xml:space="preserve">Рассмотрев эффективности использования основных производственных фондов ООО «Омский майонезный завод» можно сделать следующие выводы. Одним из способов повышения эффективности использования основных фондов является приобретение новой высокопроизводительной техники, что позволяет повысить </w:t>
      </w:r>
      <w:proofErr w:type="spellStart"/>
      <w:r w:rsidRPr="00743A13">
        <w:rPr>
          <w:rFonts w:ascii="Times New Roman" w:hAnsi="Times New Roman" w:cs="Times New Roman"/>
          <w:sz w:val="28"/>
          <w:szCs w:val="28"/>
        </w:rPr>
        <w:t>фондовооруженность</w:t>
      </w:r>
      <w:proofErr w:type="spellEnd"/>
      <w:r w:rsidRPr="00743A13">
        <w:rPr>
          <w:rFonts w:ascii="Times New Roman" w:hAnsi="Times New Roman" w:cs="Times New Roman"/>
          <w:sz w:val="28"/>
          <w:szCs w:val="28"/>
        </w:rPr>
        <w:t xml:space="preserve"> предприятия. Однако эффективное управление основными фондами предприятия достигается сбалансированностью всех факторов производства.</w:t>
      </w:r>
    </w:p>
    <w:p w:rsidR="00AA7B81" w:rsidRPr="00743A13" w:rsidRDefault="00AA7B81" w:rsidP="00743A1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3A13">
        <w:rPr>
          <w:rFonts w:ascii="Times New Roman" w:hAnsi="Times New Roman" w:cs="Times New Roman"/>
          <w:sz w:val="28"/>
          <w:szCs w:val="28"/>
        </w:rPr>
        <w:t>В целях увеличения эффективности использования основных средств ООО «Омский майонезный завод» необходимо:</w:t>
      </w:r>
    </w:p>
    <w:p w:rsidR="00AA7B81" w:rsidRPr="00743A13" w:rsidRDefault="00AA7B81" w:rsidP="00743A1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3A13">
        <w:rPr>
          <w:rFonts w:ascii="Times New Roman" w:hAnsi="Times New Roman" w:cs="Times New Roman"/>
          <w:sz w:val="28"/>
          <w:szCs w:val="28"/>
        </w:rPr>
        <w:lastRenderedPageBreak/>
        <w:t>- освободить предприятие от излишнего оборудования, машин и других основных средств или сдать их в аренду;</w:t>
      </w:r>
    </w:p>
    <w:p w:rsidR="00AA7B81" w:rsidRPr="00743A13" w:rsidRDefault="00AA7B81" w:rsidP="00743A1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3A13">
        <w:rPr>
          <w:rFonts w:ascii="Times New Roman" w:hAnsi="Times New Roman" w:cs="Times New Roman"/>
          <w:sz w:val="28"/>
          <w:szCs w:val="28"/>
        </w:rPr>
        <w:t>- своевременно проводить капитальный ремонт;</w:t>
      </w:r>
    </w:p>
    <w:p w:rsidR="00AA7B81" w:rsidRPr="00743A13" w:rsidRDefault="00AA7B81" w:rsidP="00743A1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3A13">
        <w:rPr>
          <w:rFonts w:ascii="Times New Roman" w:hAnsi="Times New Roman" w:cs="Times New Roman"/>
          <w:sz w:val="28"/>
          <w:szCs w:val="28"/>
        </w:rPr>
        <w:t>- повысить уровень квалификации обслуживающего персонала;</w:t>
      </w:r>
    </w:p>
    <w:p w:rsidR="00743A13" w:rsidRPr="00743A13" w:rsidRDefault="00743A13" w:rsidP="00743A1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3A13">
        <w:rPr>
          <w:rFonts w:ascii="Times New Roman" w:hAnsi="Times New Roman" w:cs="Times New Roman"/>
          <w:sz w:val="28"/>
          <w:szCs w:val="28"/>
        </w:rPr>
        <w:t>- своевременно обновлять основные средства;</w:t>
      </w:r>
    </w:p>
    <w:p w:rsidR="00743A13" w:rsidRPr="00743A13" w:rsidRDefault="00743A13" w:rsidP="00743A1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3A13">
        <w:rPr>
          <w:rFonts w:ascii="Times New Roman" w:hAnsi="Times New Roman" w:cs="Times New Roman"/>
          <w:sz w:val="28"/>
          <w:szCs w:val="28"/>
        </w:rPr>
        <w:t>-</w:t>
      </w:r>
      <w:r w:rsidR="00665158">
        <w:rPr>
          <w:rFonts w:ascii="Times New Roman" w:hAnsi="Times New Roman" w:cs="Times New Roman"/>
          <w:sz w:val="28"/>
          <w:szCs w:val="28"/>
        </w:rPr>
        <w:t xml:space="preserve"> </w:t>
      </w:r>
      <w:r w:rsidRPr="00743A13">
        <w:rPr>
          <w:rFonts w:ascii="Times New Roman" w:hAnsi="Times New Roman" w:cs="Times New Roman"/>
          <w:sz w:val="28"/>
          <w:szCs w:val="28"/>
        </w:rPr>
        <w:t>повысить уровень механизации и автоматизации производства;</w:t>
      </w:r>
    </w:p>
    <w:p w:rsidR="00743A13" w:rsidRPr="00743A13" w:rsidRDefault="00665158" w:rsidP="00743A1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43A13" w:rsidRPr="00743A13">
        <w:rPr>
          <w:rFonts w:ascii="Times New Roman" w:hAnsi="Times New Roman" w:cs="Times New Roman"/>
          <w:sz w:val="28"/>
          <w:szCs w:val="28"/>
        </w:rPr>
        <w:t>совершенствовать организацию производства и труда с целью сокращения потерь рабочего времени и простоя в работе машин и оборудования.</w:t>
      </w:r>
    </w:p>
    <w:p w:rsidR="00743A13" w:rsidRPr="00743A13" w:rsidRDefault="00743A13" w:rsidP="00743A1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3A13">
        <w:rPr>
          <w:rFonts w:ascii="Times New Roman" w:hAnsi="Times New Roman" w:cs="Times New Roman"/>
          <w:sz w:val="28"/>
          <w:szCs w:val="28"/>
        </w:rPr>
        <w:t>Все эти мероприятия помогут улучшить эффективность использования основных производственных фондов, будут способствовать росту производства продукции, получению более высокой прибыли.</w:t>
      </w:r>
    </w:p>
    <w:p w:rsidR="00743A13" w:rsidRDefault="00743A13"/>
    <w:p w:rsidR="003F77DB" w:rsidRDefault="003F77DB" w:rsidP="003F77DB">
      <w:pPr>
        <w:spacing w:after="0"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3F77DB">
        <w:rPr>
          <w:rFonts w:ascii="Times New Roman" w:hAnsi="Times New Roman" w:cs="Times New Roman"/>
          <w:caps/>
          <w:sz w:val="28"/>
          <w:szCs w:val="28"/>
        </w:rPr>
        <w:t>Список использованной литературы</w:t>
      </w:r>
    </w:p>
    <w:p w:rsidR="003F77DB" w:rsidRDefault="003F77DB" w:rsidP="003F77DB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7DB">
        <w:rPr>
          <w:rFonts w:ascii="Times New Roman" w:hAnsi="Times New Roman" w:cs="Times New Roman"/>
          <w:sz w:val="28"/>
          <w:szCs w:val="28"/>
        </w:rPr>
        <w:t xml:space="preserve">Блинов О.А., Новиков Ю.И., Кузнецова В.В. Порядок учета обесценивания </w:t>
      </w:r>
      <w:proofErr w:type="spellStart"/>
      <w:r w:rsidRPr="003F77DB">
        <w:rPr>
          <w:rFonts w:ascii="Times New Roman" w:hAnsi="Times New Roman" w:cs="Times New Roman"/>
          <w:sz w:val="28"/>
          <w:szCs w:val="28"/>
        </w:rPr>
        <w:t>внеоборотных</w:t>
      </w:r>
      <w:proofErr w:type="spellEnd"/>
      <w:r w:rsidRPr="003F77DB">
        <w:rPr>
          <w:rFonts w:ascii="Times New Roman" w:hAnsi="Times New Roman" w:cs="Times New Roman"/>
          <w:sz w:val="28"/>
          <w:szCs w:val="28"/>
        </w:rPr>
        <w:t xml:space="preserve"> активов сельскохозяйственных организаций / Фундаментальные исследования.2013.№ 10-6. 1312-1314 с.</w:t>
      </w:r>
    </w:p>
    <w:p w:rsidR="003F77DB" w:rsidRDefault="003F77DB" w:rsidP="003F77DB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Иккерт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А.В. Организация анализа эффективности использования основных фондов в ЗАО «Первомайское»</w:t>
      </w:r>
      <w:r w:rsidR="00CE2582">
        <w:rPr>
          <w:rFonts w:ascii="Times New Roman" w:hAnsi="Times New Roman" w:cs="Times New Roman"/>
          <w:sz w:val="28"/>
          <w:szCs w:val="28"/>
        </w:rPr>
        <w:t xml:space="preserve"> Омского района Омской области// Материалы VI Международной студенческой электронной научной конференции «Студенческий научный форум» 15.02-31.03 2014года.</w:t>
      </w:r>
    </w:p>
    <w:p w:rsidR="00CE2582" w:rsidRDefault="00CE2582" w:rsidP="003F77DB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Климова Н.В. Направления совершенствования методики анализа состояния и эффективности использования основных средств.// «Экономический анализ: теория и практика», 2008, №6 </w:t>
      </w:r>
      <w:r w:rsidRPr="00CE2582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CE2582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– М.: 2008. – Режим доступа: </w:t>
      </w:r>
      <w:hyperlink r:id="rId6" w:history="1">
        <w:r w:rsidRPr="00067CF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067CFD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067CF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lawmix</w:t>
        </w:r>
        <w:proofErr w:type="spellEnd"/>
        <w:r w:rsidRPr="00067CFD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067CF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CE2582" w:rsidRDefault="00CE2582" w:rsidP="003F77DB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Новиков Ю.И. Повышение конкурентоспособности зерна в сельскохозяйственных предприятиях (на материалы степной зоны Омской области)/ Диссертация на соискание ученой степени кандидата экономических наук/ Москва, 2004</w:t>
      </w:r>
    </w:p>
    <w:p w:rsidR="007C43FB" w:rsidRDefault="007C43FB" w:rsidP="007C43FB">
      <w:pPr>
        <w:pStyle w:val="a4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C43FB" w:rsidRDefault="007C43FB" w:rsidP="007C43FB">
      <w:pPr>
        <w:pStyle w:val="a4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C43FB" w:rsidRPr="003F77DB" w:rsidRDefault="007C43FB" w:rsidP="007C43FB">
      <w:pPr>
        <w:pStyle w:val="a4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C43FB">
        <w:rPr>
          <w:rFonts w:ascii="Times New Roman" w:hAnsi="Times New Roman" w:cs="Times New Roman"/>
          <w:sz w:val="28"/>
          <w:szCs w:val="28"/>
        </w:rPr>
        <w:t>©</w:t>
      </w:r>
      <w:r>
        <w:t xml:space="preserve"> </w:t>
      </w:r>
      <w:r w:rsidRPr="007C43FB">
        <w:rPr>
          <w:rFonts w:ascii="Times New Roman" w:hAnsi="Times New Roman" w:cs="Times New Roman"/>
          <w:sz w:val="28"/>
          <w:szCs w:val="28"/>
        </w:rPr>
        <w:t>А.К. Фатеева</w:t>
      </w:r>
      <w:r w:rsidRPr="007C43FB">
        <w:rPr>
          <w:rFonts w:ascii="Times New Roman" w:hAnsi="Times New Roman" w:cs="Times New Roman"/>
          <w:sz w:val="28"/>
          <w:szCs w:val="28"/>
        </w:rPr>
        <w:t xml:space="preserve">, </w:t>
      </w:r>
      <w:r w:rsidRPr="007C43FB">
        <w:rPr>
          <w:rFonts w:ascii="Times New Roman" w:hAnsi="Times New Roman" w:cs="Times New Roman"/>
          <w:sz w:val="28"/>
          <w:szCs w:val="28"/>
        </w:rPr>
        <w:t>2019</w:t>
      </w:r>
    </w:p>
    <w:sectPr w:rsidR="007C43FB" w:rsidRPr="003F77DB" w:rsidSect="003F77DB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9364A8"/>
    <w:multiLevelType w:val="hybridMultilevel"/>
    <w:tmpl w:val="D11A4F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CF2"/>
    <w:rsid w:val="00090AFC"/>
    <w:rsid w:val="003F77DB"/>
    <w:rsid w:val="00435DA1"/>
    <w:rsid w:val="0046664B"/>
    <w:rsid w:val="00665158"/>
    <w:rsid w:val="006B7EAB"/>
    <w:rsid w:val="00743A13"/>
    <w:rsid w:val="007C43FB"/>
    <w:rsid w:val="007F01C8"/>
    <w:rsid w:val="0085516C"/>
    <w:rsid w:val="009F0B99"/>
    <w:rsid w:val="00AA7B81"/>
    <w:rsid w:val="00B65053"/>
    <w:rsid w:val="00B94CF2"/>
    <w:rsid w:val="00CE2582"/>
    <w:rsid w:val="00DA29EE"/>
    <w:rsid w:val="00EC5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5D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F77D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E258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5D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F77D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E25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awmi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1237</Words>
  <Characters>7051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2019-11-14T06:41:00Z</dcterms:created>
  <dcterms:modified xsi:type="dcterms:W3CDTF">2019-11-18T09:21:00Z</dcterms:modified>
</cp:coreProperties>
</file>