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C67" w:rsidRPr="00432ABE" w:rsidRDefault="00AF478A" w:rsidP="00536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ABE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Pr="00432ABE">
        <w:rPr>
          <w:rFonts w:ascii="Times New Roman" w:hAnsi="Times New Roman" w:cs="Times New Roman"/>
          <w:sz w:val="28"/>
          <w:szCs w:val="28"/>
        </w:rPr>
        <w:t xml:space="preserve"> </w:t>
      </w:r>
      <w:r w:rsidR="005367C5" w:rsidRPr="00432ABE">
        <w:rPr>
          <w:rFonts w:ascii="Times New Roman" w:hAnsi="Times New Roman" w:cs="Times New Roman"/>
          <w:sz w:val="28"/>
          <w:szCs w:val="28"/>
        </w:rPr>
        <w:t>В</w:t>
      </w:r>
      <w:r w:rsidR="00711B2F" w:rsidRPr="00432ABE">
        <w:rPr>
          <w:rFonts w:ascii="Times New Roman" w:hAnsi="Times New Roman" w:cs="Times New Roman"/>
          <w:sz w:val="28"/>
          <w:szCs w:val="28"/>
        </w:rPr>
        <w:t xml:space="preserve"> новых условиях глобального технологического развития возможности роста в рамках экспортно-сырьевой модели исчерпаны. Сырьевой сектор является мощным конкурентным преимуществом и его необходимо рассматривать в качестве основы и источника для модернизации материального производства. Существующие структурные противоречия и негативные тенденции в российской экономике представляется возможным нивелировать посредством регулирования структуры экономики. Целенаправленная государственная структурная политика позволит преодолеть последствия экономических реформ, выраженные в значительных структурных диспропорциях, несопоставимых ценовых соотношениях, недостаточной эффективности государственного управления, неблагоприятном инвестиционном климате. </w:t>
      </w:r>
      <w:r w:rsidR="005367C5" w:rsidRPr="00432ABE">
        <w:rPr>
          <w:rFonts w:ascii="Times New Roman" w:hAnsi="Times New Roman" w:cs="Times New Roman"/>
          <w:sz w:val="28"/>
          <w:szCs w:val="28"/>
        </w:rPr>
        <w:t xml:space="preserve">Российская экономика обладает всеми предпосылками для экономического роста, основанного на внутреннем производстве и потреблении. Развитие материального производства и технологической базы представляется основой для создания и развития высокотехнологичных отраслей. </w:t>
      </w:r>
      <w:r w:rsidR="00711B2F" w:rsidRPr="00432ABE">
        <w:rPr>
          <w:rFonts w:ascii="Times New Roman" w:hAnsi="Times New Roman" w:cs="Times New Roman"/>
          <w:sz w:val="28"/>
          <w:szCs w:val="28"/>
        </w:rPr>
        <w:t xml:space="preserve">Государственная структурная политика, основанная на грамотном стратегическом планировании научно-технологического развития, позволит осуществить структурный маневр с целью достижения паритета с технологически развитыми странами и повышения эффективности в использовании имеющихся ресурсов. </w:t>
      </w:r>
    </w:p>
    <w:p w:rsidR="005367C5" w:rsidRPr="00432ABE" w:rsidRDefault="005367C5" w:rsidP="00536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2ABE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432ABE">
        <w:rPr>
          <w:rFonts w:ascii="Times New Roman" w:hAnsi="Times New Roman" w:cs="Times New Roman"/>
          <w:sz w:val="28"/>
          <w:szCs w:val="28"/>
        </w:rPr>
        <w:t xml:space="preserve"> экспортно-сырьевая модель, структурная политика, научно-технологическое развитие, структурный сдвиг</w:t>
      </w:r>
    </w:p>
    <w:p w:rsidR="00D57173" w:rsidRDefault="00D57173" w:rsidP="00D571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131FF4">
        <w:rPr>
          <w:rFonts w:ascii="Times New Roman" w:hAnsi="Times New Roman" w:cs="Times New Roman"/>
          <w:sz w:val="28"/>
          <w:szCs w:val="28"/>
        </w:rPr>
        <w:t>структура российской экономики является деформированной вследствие гипертрофированного развития сырьевых отраслей и многолетней деградаци</w:t>
      </w:r>
      <w:r w:rsidR="008E5D79">
        <w:rPr>
          <w:rFonts w:ascii="Times New Roman" w:hAnsi="Times New Roman" w:cs="Times New Roman"/>
          <w:sz w:val="28"/>
          <w:szCs w:val="28"/>
        </w:rPr>
        <w:t>и</w:t>
      </w:r>
      <w:r w:rsidR="00131FF4">
        <w:rPr>
          <w:rFonts w:ascii="Times New Roman" w:hAnsi="Times New Roman" w:cs="Times New Roman"/>
          <w:sz w:val="28"/>
          <w:szCs w:val="28"/>
        </w:rPr>
        <w:t xml:space="preserve"> производства товаров конечного потребления.  Произошло закрепление </w:t>
      </w:r>
      <w:r>
        <w:rPr>
          <w:rFonts w:ascii="Times New Roman" w:hAnsi="Times New Roman" w:cs="Times New Roman"/>
          <w:sz w:val="28"/>
          <w:szCs w:val="28"/>
        </w:rPr>
        <w:t>экспортно-</w:t>
      </w:r>
      <w:r w:rsidR="00131FF4">
        <w:rPr>
          <w:rFonts w:ascii="Times New Roman" w:hAnsi="Times New Roman" w:cs="Times New Roman"/>
          <w:sz w:val="28"/>
          <w:szCs w:val="28"/>
        </w:rPr>
        <w:t>сырьевой</w:t>
      </w:r>
      <w:r>
        <w:rPr>
          <w:rFonts w:ascii="Times New Roman" w:hAnsi="Times New Roman" w:cs="Times New Roman"/>
          <w:sz w:val="28"/>
          <w:szCs w:val="28"/>
        </w:rPr>
        <w:t xml:space="preserve"> модел</w:t>
      </w:r>
      <w:r w:rsidR="00131FF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что подтверждается структурой экспорта: экспортируется преимущественно сырье (удельный вес топливно-энергетических </w:t>
      </w:r>
      <w:r w:rsidRPr="00812B93">
        <w:rPr>
          <w:rFonts w:ascii="Times New Roman" w:hAnsi="Times New Roman" w:cs="Times New Roman"/>
          <w:sz w:val="28"/>
          <w:szCs w:val="28"/>
        </w:rPr>
        <w:t>товаров</w:t>
      </w:r>
      <w:r>
        <w:rPr>
          <w:rFonts w:ascii="Times New Roman" w:hAnsi="Times New Roman" w:cs="Times New Roman"/>
          <w:sz w:val="28"/>
          <w:szCs w:val="28"/>
        </w:rPr>
        <w:t xml:space="preserve"> в 2017 г. составил 64,5%)</w:t>
      </w:r>
      <w:r w:rsidRPr="00D164A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Промышленные и продовольственные товары, машины и оборудование отечественного производства не являются конкурентоспособными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отношению к зарубежным аналогам, о чем свидетельствует доля в 51,5% импорта </w:t>
      </w:r>
      <w:r w:rsidR="00C41210">
        <w:rPr>
          <w:rFonts w:ascii="Times New Roman" w:hAnsi="Times New Roman" w:cs="Times New Roman"/>
          <w:sz w:val="28"/>
          <w:szCs w:val="28"/>
        </w:rPr>
        <w:t>машин и</w:t>
      </w:r>
      <w:r>
        <w:rPr>
          <w:rFonts w:ascii="Times New Roman" w:hAnsi="Times New Roman" w:cs="Times New Roman"/>
          <w:sz w:val="28"/>
          <w:szCs w:val="28"/>
        </w:rPr>
        <w:t xml:space="preserve"> оборудования, </w:t>
      </w:r>
      <w:r w:rsidRPr="006500CC">
        <w:rPr>
          <w:rFonts w:ascii="Times New Roman" w:hAnsi="Times New Roman" w:cs="Times New Roman"/>
          <w:sz w:val="28"/>
          <w:szCs w:val="28"/>
        </w:rPr>
        <w:t>продовольственных товаров и сырья для их производства – 11,4%, текстильных изделий и обуви – 5,9% в структуре импорта российской экономики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4A7">
        <w:rPr>
          <w:rFonts w:ascii="Times New Roman" w:hAnsi="Times New Roman" w:cs="Times New Roman"/>
          <w:sz w:val="28"/>
          <w:szCs w:val="28"/>
        </w:rPr>
        <w:t>[</w:t>
      </w:r>
      <w:r w:rsidR="00194939">
        <w:rPr>
          <w:rFonts w:ascii="Times New Roman" w:hAnsi="Times New Roman" w:cs="Times New Roman"/>
          <w:sz w:val="28"/>
          <w:szCs w:val="28"/>
        </w:rPr>
        <w:t>3</w:t>
      </w:r>
      <w:r w:rsidRPr="00D164A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7173" w:rsidRDefault="00D57173" w:rsidP="00D571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экономический рост 2000-ых годов, обусловленный благоприятной конъюнктурой на рынке энергоресурсов, </w:t>
      </w:r>
      <w:r w:rsidR="00296ECC">
        <w:rPr>
          <w:rFonts w:ascii="Times New Roman" w:hAnsi="Times New Roman" w:cs="Times New Roman"/>
          <w:sz w:val="28"/>
          <w:szCs w:val="28"/>
        </w:rPr>
        <w:t xml:space="preserve">представляется возможным выделить </w:t>
      </w:r>
      <w:r>
        <w:rPr>
          <w:rFonts w:ascii="Times New Roman" w:hAnsi="Times New Roman" w:cs="Times New Roman"/>
          <w:sz w:val="28"/>
          <w:szCs w:val="28"/>
        </w:rPr>
        <w:t>ряд недостатков экспортно-сырьевой модели:</w:t>
      </w:r>
    </w:p>
    <w:p w:rsidR="00D57173" w:rsidRDefault="00D57173" w:rsidP="00D5717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0E3">
        <w:rPr>
          <w:rFonts w:ascii="Times New Roman" w:hAnsi="Times New Roman" w:cs="Times New Roman"/>
          <w:sz w:val="28"/>
          <w:szCs w:val="28"/>
        </w:rPr>
        <w:t>Зависимость макроэкономической стабильности от мировых цен на энергоресурсы, которая возрастает прямо пропорционально увеличению доли углеводородов в структуре экспорта. Удельный вес углеводородов в структуре экспорта увеличился с 32% в 1998 г. до 64,5% в 2017 г. Кризисы в российской экономике также частично обусловлены колебаниями мировых цен</w:t>
      </w:r>
      <w:r>
        <w:rPr>
          <w:rFonts w:ascii="Times New Roman" w:hAnsi="Times New Roman" w:cs="Times New Roman"/>
          <w:sz w:val="28"/>
          <w:szCs w:val="28"/>
        </w:rPr>
        <w:t>, в ф</w:t>
      </w:r>
      <w:r w:rsidRPr="009E40E3">
        <w:rPr>
          <w:rFonts w:ascii="Times New Roman" w:hAnsi="Times New Roman" w:cs="Times New Roman"/>
          <w:sz w:val="28"/>
          <w:szCs w:val="28"/>
        </w:rPr>
        <w:t>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E40E3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>цена на нефть является одним из основополагающих индикаторов.</w:t>
      </w:r>
    </w:p>
    <w:p w:rsidR="00D57173" w:rsidRDefault="00D57173" w:rsidP="00D5717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Невозможность длительной ориентации на экспортно-сырьевой путь развития ввиду ограниченности запасов природных ресурсов. По некоторым экспертным оценкам, запасов углеводородов в России хватит приблизительно на 30 лет. При этом добывающие предприятия предпочитают заниматься выработкой уже существующих месторождений, т.к. геологоразведка требует достаточно существенных инвестиций. Добыча порядка 80% запасов нефти и газа не является на сегодняшний день рентабельной при текущих ценах на энергоресурсы</w:t>
      </w:r>
      <w:r w:rsidRPr="002A51AA">
        <w:rPr>
          <w:rFonts w:ascii="Times New Roman" w:hAnsi="Times New Roman" w:cs="Times New Roman"/>
          <w:sz w:val="28"/>
          <w:szCs w:val="28"/>
        </w:rPr>
        <w:t xml:space="preserve"> [</w:t>
      </w:r>
      <w:r w:rsidR="00F43820">
        <w:rPr>
          <w:rFonts w:ascii="Times New Roman" w:hAnsi="Times New Roman" w:cs="Times New Roman"/>
          <w:sz w:val="28"/>
          <w:szCs w:val="28"/>
        </w:rPr>
        <w:t>5</w:t>
      </w:r>
      <w:r w:rsidRPr="002A51A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57173" w:rsidRDefault="00D57173" w:rsidP="00D5717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Застой и деградация всех секторов национальной экономики, помимо добычи минеральных ресурсов. Свидетельством конкурентоспособности товара является его экспорт на мировой рынок, однако структура российского экспорта принципиально не претерпела никаких существенных изменений в пропорциях между отраслями, начиная с 2010 г.</w:t>
      </w:r>
    </w:p>
    <w:p w:rsidR="00140006" w:rsidRDefault="00140006" w:rsidP="0014000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14000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D79" w:rsidRDefault="008E5D79" w:rsidP="008E5D79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1. Товарная структура экспорта Российской Федерации</w:t>
      </w:r>
    </w:p>
    <w:tbl>
      <w:tblPr>
        <w:tblpPr w:leftFromText="180" w:rightFromText="180" w:vertAnchor="text" w:horzAnchor="page" w:tblpX="2749" w:tblpY="365"/>
        <w:tblW w:w="7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900"/>
        <w:gridCol w:w="1160"/>
        <w:gridCol w:w="960"/>
        <w:gridCol w:w="960"/>
        <w:gridCol w:w="960"/>
      </w:tblGrid>
      <w:tr w:rsidR="00D57173" w:rsidRPr="00377079" w:rsidTr="00194939">
        <w:trPr>
          <w:trHeight w:val="288"/>
        </w:trPr>
        <w:tc>
          <w:tcPr>
            <w:tcW w:w="2560" w:type="dxa"/>
            <w:vMerge w:val="restart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товарной отрасли</w:t>
            </w:r>
          </w:p>
        </w:tc>
        <w:tc>
          <w:tcPr>
            <w:tcW w:w="4940" w:type="dxa"/>
            <w:gridSpan w:val="5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отрасли</w:t>
            </w:r>
          </w:p>
        </w:tc>
      </w:tr>
      <w:tr w:rsidR="00D57173" w:rsidRPr="00377079" w:rsidTr="00194939">
        <w:trPr>
          <w:trHeight w:val="509"/>
        </w:trPr>
        <w:tc>
          <w:tcPr>
            <w:tcW w:w="2560" w:type="dxa"/>
            <w:vMerge/>
            <w:vAlign w:val="center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 w:val="restart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60" w:type="dxa"/>
            <w:vMerge w:val="restart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60" w:type="dxa"/>
            <w:vMerge w:val="restart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</w:tr>
      <w:tr w:rsidR="00D57173" w:rsidRPr="00377079" w:rsidTr="00194939">
        <w:trPr>
          <w:trHeight w:val="509"/>
        </w:trPr>
        <w:tc>
          <w:tcPr>
            <w:tcW w:w="2560" w:type="dxa"/>
            <w:vMerge/>
            <w:vAlign w:val="center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173" w:rsidRPr="00377079" w:rsidTr="00194939">
        <w:trPr>
          <w:trHeight w:val="288"/>
        </w:trPr>
        <w:tc>
          <w:tcPr>
            <w:tcW w:w="2560" w:type="dxa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57173" w:rsidRPr="00377079" w:rsidTr="00194939">
        <w:trPr>
          <w:trHeight w:val="852"/>
        </w:trPr>
        <w:tc>
          <w:tcPr>
            <w:tcW w:w="2560" w:type="dxa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Продовольственные товары и сельскохозяйственное сырье (кроме текстильного)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D57173" w:rsidRPr="00377079" w:rsidTr="00194939">
        <w:trPr>
          <w:trHeight w:val="348"/>
        </w:trPr>
        <w:tc>
          <w:tcPr>
            <w:tcW w:w="2560" w:type="dxa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продукты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63,80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</w:t>
            </w:r>
          </w:p>
        </w:tc>
      </w:tr>
      <w:tr w:rsidR="00D57173" w:rsidRPr="00377079" w:rsidTr="00194939">
        <w:trPr>
          <w:trHeight w:val="564"/>
        </w:trPr>
        <w:tc>
          <w:tcPr>
            <w:tcW w:w="2560" w:type="dxa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 химической промышленности, каучук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</w:tr>
      <w:tr w:rsidR="00D57173" w:rsidRPr="00377079" w:rsidTr="00194939">
        <w:trPr>
          <w:trHeight w:val="612"/>
        </w:trPr>
        <w:tc>
          <w:tcPr>
            <w:tcW w:w="2560" w:type="dxa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Кожевенное сырье, пушнина и изделия из них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D57173" w:rsidRPr="00377079" w:rsidTr="00194939">
        <w:trPr>
          <w:trHeight w:val="552"/>
        </w:trPr>
        <w:tc>
          <w:tcPr>
            <w:tcW w:w="2560" w:type="dxa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Древесина и целлюлозно-бумажные изделия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D57173" w:rsidRPr="00377079" w:rsidTr="00194939">
        <w:trPr>
          <w:trHeight w:val="600"/>
        </w:trPr>
        <w:tc>
          <w:tcPr>
            <w:tcW w:w="2560" w:type="dxa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Текстиль, текстильные изделия и обувь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D57173" w:rsidRPr="00377079" w:rsidTr="00194939">
        <w:trPr>
          <w:trHeight w:val="576"/>
        </w:trPr>
        <w:tc>
          <w:tcPr>
            <w:tcW w:w="2560" w:type="dxa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Металлы, драгоценные камни и изделия из них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D57173" w:rsidRPr="00377079" w:rsidTr="00194939">
        <w:trPr>
          <w:trHeight w:val="564"/>
        </w:trPr>
        <w:tc>
          <w:tcPr>
            <w:tcW w:w="2560" w:type="dxa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Машины, оборудование и транспортные средства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</w:tr>
      <w:tr w:rsidR="00D57173" w:rsidRPr="00377079" w:rsidTr="00194939">
        <w:trPr>
          <w:trHeight w:val="300"/>
        </w:trPr>
        <w:tc>
          <w:tcPr>
            <w:tcW w:w="2560" w:type="dxa"/>
            <w:shd w:val="clear" w:color="auto" w:fill="auto"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товары</w:t>
            </w:r>
          </w:p>
        </w:tc>
        <w:tc>
          <w:tcPr>
            <w:tcW w:w="90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960" w:type="dxa"/>
            <w:shd w:val="clear" w:color="auto" w:fill="auto"/>
            <w:noWrap/>
            <w:hideMark/>
          </w:tcPr>
          <w:p w:rsidR="00D57173" w:rsidRPr="00377079" w:rsidRDefault="00D57173" w:rsidP="002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70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</w:tbl>
    <w:p w:rsidR="00D57173" w:rsidRDefault="00D57173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006" w:rsidRDefault="00140006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006" w:rsidRDefault="00140006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2ABE" w:rsidRDefault="00432ABE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173" w:rsidRPr="00E06C61" w:rsidRDefault="00D57173" w:rsidP="00D571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 </w:t>
      </w:r>
      <w:r w:rsidR="00194939">
        <w:rPr>
          <w:rFonts w:ascii="Times New Roman" w:hAnsi="Times New Roman" w:cs="Times New Roman"/>
          <w:sz w:val="28"/>
          <w:szCs w:val="28"/>
          <w:lang w:val="en-US"/>
        </w:rPr>
        <w:t>[7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06C61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571</w:t>
      </w:r>
      <w:r w:rsidR="00E06C61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D57173" w:rsidRDefault="00D57173" w:rsidP="00D5717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Слабое развитие наукоемких отраслей и высокотехнологичных производств, как следствие</w:t>
      </w:r>
      <w:r w:rsidR="000F6B2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импорт технологий. Согласно технологическому платежному балансу</w:t>
      </w:r>
      <w:r w:rsidR="000F6B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Россия – нетто-импортер технологий. Сальдо технологического платежного баланса было положительным только в 2000 г., соотношение между </w:t>
      </w:r>
      <w:r w:rsidRPr="00157C54">
        <w:rPr>
          <w:rFonts w:ascii="Times New Roman" w:hAnsi="Times New Roman" w:cs="Times New Roman"/>
          <w:sz w:val="28"/>
          <w:szCs w:val="28"/>
        </w:rPr>
        <w:t xml:space="preserve">объемом экспорта и импорта </w:t>
      </w:r>
      <w:proofErr w:type="spellStart"/>
      <w:r w:rsidRPr="00157C54">
        <w:rPr>
          <w:rFonts w:ascii="Times New Roman" w:hAnsi="Times New Roman" w:cs="Times New Roman"/>
          <w:sz w:val="28"/>
          <w:szCs w:val="28"/>
        </w:rPr>
        <w:t>неовеществленных</w:t>
      </w:r>
      <w:proofErr w:type="spellEnd"/>
      <w:r w:rsidRPr="00157C54">
        <w:rPr>
          <w:rFonts w:ascii="Times New Roman" w:hAnsi="Times New Roman" w:cs="Times New Roman"/>
          <w:sz w:val="28"/>
          <w:szCs w:val="28"/>
        </w:rPr>
        <w:t xml:space="preserve"> технологий увеличилось в 59 раз, начиная с 2000 г</w:t>
      </w:r>
      <w:r w:rsidR="000F6B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C54">
        <w:rPr>
          <w:rFonts w:ascii="Times New Roman" w:hAnsi="Times New Roman" w:cs="Times New Roman"/>
          <w:sz w:val="28"/>
          <w:szCs w:val="28"/>
        </w:rPr>
        <w:t>[</w:t>
      </w:r>
      <w:r w:rsidR="00194939">
        <w:rPr>
          <w:rFonts w:ascii="Times New Roman" w:hAnsi="Times New Roman" w:cs="Times New Roman"/>
          <w:sz w:val="28"/>
          <w:szCs w:val="28"/>
        </w:rPr>
        <w:t>1</w:t>
      </w:r>
      <w:r w:rsidRPr="00157C54">
        <w:rPr>
          <w:rFonts w:ascii="Times New Roman" w:hAnsi="Times New Roman" w:cs="Times New Roman"/>
          <w:sz w:val="28"/>
          <w:szCs w:val="28"/>
        </w:rPr>
        <w:t>].</w:t>
      </w:r>
    </w:p>
    <w:p w:rsidR="00D57173" w:rsidRDefault="00D57173" w:rsidP="0044130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Однако, с авторской точки зрения, сырьевой потенциал необходимо рассматривать как существенное конкурентное преимущество. Мировой опыт свидетельствует, что наличие природных ресурсов не обязательно приводит к деформации структуры экономики и «перекос</w:t>
      </w:r>
      <w:r w:rsidR="000F6B20" w:rsidRPr="000F6B2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» в сторону сырьевых отраслей, примерами являются такие страны, как Канада, Австралия, Норвегия. Одним из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наиболее существенных системных отклонений российской экономики является крайне низкий показатель добавленной стоимости, приходящийся на один доллар сырья: в США – это 10 долларов, в России – 2 доллара </w:t>
      </w:r>
      <w:r w:rsidRPr="00452EF2">
        <w:rPr>
          <w:rFonts w:ascii="Times New Roman" w:hAnsi="Times New Roman" w:cs="Times New Roman"/>
          <w:sz w:val="28"/>
          <w:szCs w:val="28"/>
        </w:rPr>
        <w:t>[</w:t>
      </w:r>
      <w:r w:rsidR="00194939">
        <w:rPr>
          <w:rFonts w:ascii="Times New Roman" w:hAnsi="Times New Roman" w:cs="Times New Roman"/>
          <w:sz w:val="28"/>
          <w:szCs w:val="28"/>
        </w:rPr>
        <w:t>6</w:t>
      </w:r>
      <w:r w:rsidRPr="00452EF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D79" w:rsidRDefault="008E5D79" w:rsidP="008E5D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Структурный дисбаланс, многоукладность, </w:t>
      </w:r>
      <w:r w:rsidRPr="00AE09A0">
        <w:rPr>
          <w:rFonts w:ascii="Times New Roman" w:hAnsi="Times New Roman" w:cs="Times New Roman"/>
          <w:sz w:val="28"/>
          <w:szCs w:val="28"/>
        </w:rPr>
        <w:t>а также низкая национальная конкурентоспособност</w:t>
      </w:r>
      <w:r>
        <w:rPr>
          <w:rFonts w:ascii="Times New Roman" w:hAnsi="Times New Roman" w:cs="Times New Roman"/>
          <w:sz w:val="28"/>
          <w:szCs w:val="28"/>
        </w:rPr>
        <w:t>ь, свойственные структуре российской экономики являются одними из причин догоняющего характера технологического развития. Структурная модернизация, основанная на интеграции добывающей и обрабатывающей промышленности, преодолении деформаций и регрессивных тенденций в отраслевой структуре, невозможна за счет рыночного механизма без активного государственного участия в регулировании структурных сдвигов.</w:t>
      </w:r>
    </w:p>
    <w:p w:rsidR="008E5D79" w:rsidRDefault="008E5D79" w:rsidP="008E5D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Мировая практика свидетельствует о лидирующем положении и высокой конкурентоспособности стран, сформировавших технологическую базу, основанную на ведущих наукоемких технологиях и принципах технологической конвергенции. Однако непосредственное участие государства имеет и</w:t>
      </w:r>
      <w:r w:rsidRPr="00E25C18">
        <w:rPr>
          <w:rFonts w:ascii="Times New Roman" w:hAnsi="Times New Roman" w:cs="Times New Roman"/>
          <w:sz w:val="28"/>
          <w:szCs w:val="28"/>
        </w:rPr>
        <w:t>сключительное значение в регулировании структурных сдвигов</w:t>
      </w:r>
      <w:r>
        <w:rPr>
          <w:rFonts w:ascii="Times New Roman" w:hAnsi="Times New Roman" w:cs="Times New Roman"/>
          <w:sz w:val="28"/>
          <w:szCs w:val="28"/>
        </w:rPr>
        <w:t>. Об этом свидетельствует анализ мирового опыта: в 1980-ых гг. в развитых странах произошло сокращение регулирования экономики государством, которое не коснулось только сферы высоких технологий. Государство оказывало поддержку инновационно-инвестиционной активности и принимало непосредственное участие в организации наукоемких производств, дальнейшее развитие которых впоследствии базировалось на принципах рыночной самоорганизации</w:t>
      </w:r>
      <w:r w:rsidRPr="00B4480B">
        <w:rPr>
          <w:rFonts w:ascii="Times New Roman" w:hAnsi="Times New Roman" w:cs="Times New Roman"/>
          <w:sz w:val="28"/>
          <w:szCs w:val="28"/>
        </w:rPr>
        <w:t xml:space="preserve"> [</w:t>
      </w:r>
      <w:r w:rsidR="00194939">
        <w:rPr>
          <w:rFonts w:ascii="Times New Roman" w:hAnsi="Times New Roman" w:cs="Times New Roman"/>
          <w:sz w:val="28"/>
          <w:szCs w:val="28"/>
        </w:rPr>
        <w:t>8</w:t>
      </w:r>
      <w:r w:rsidRPr="00B4480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D79" w:rsidRDefault="008E5D79" w:rsidP="008E5D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Согласно авторскому утверждению, государственное регулирование воспроизводственных процессов необходимо, оно при этом не нивелирует рыночные механизмы, а обеспечивает необходимое соответствие между элементами структуры экономики. Потребность в проведении государством структурной политики объясняется следующими обстоятельствами:</w:t>
      </w:r>
    </w:p>
    <w:p w:rsidR="008E5D79" w:rsidRPr="006F528E" w:rsidRDefault="008E5D79" w:rsidP="008E5D7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Оптимизация пропорций в структуре экономики на всех ее уровнях: предприятия руководствуются</w:t>
      </w:r>
      <w:r w:rsidR="00812B93" w:rsidRPr="00812B93">
        <w:rPr>
          <w:rFonts w:ascii="Times New Roman" w:hAnsi="Times New Roman" w:cs="Times New Roman"/>
          <w:sz w:val="28"/>
          <w:szCs w:val="28"/>
        </w:rPr>
        <w:t xml:space="preserve"> </w:t>
      </w:r>
      <w:r w:rsidR="000F6B20">
        <w:rPr>
          <w:rFonts w:ascii="Times New Roman" w:hAnsi="Times New Roman" w:cs="Times New Roman"/>
          <w:sz w:val="28"/>
          <w:szCs w:val="28"/>
        </w:rPr>
        <w:t>собственным</w:t>
      </w:r>
      <w:r>
        <w:rPr>
          <w:rFonts w:ascii="Times New Roman" w:hAnsi="Times New Roman" w:cs="Times New Roman"/>
          <w:sz w:val="28"/>
          <w:szCs w:val="28"/>
        </w:rPr>
        <w:t xml:space="preserve"> интересом, государство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ориентируется на </w:t>
      </w:r>
      <w:r w:rsidRPr="006F528E">
        <w:rPr>
          <w:rFonts w:ascii="Times New Roman" w:hAnsi="Times New Roman" w:cs="Times New Roman"/>
          <w:sz w:val="28"/>
          <w:szCs w:val="28"/>
        </w:rPr>
        <w:t>сбалансированно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528E">
        <w:rPr>
          <w:rFonts w:ascii="Times New Roman" w:hAnsi="Times New Roman" w:cs="Times New Roman"/>
          <w:sz w:val="28"/>
          <w:szCs w:val="28"/>
        </w:rPr>
        <w:t xml:space="preserve"> структурно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528E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528E">
        <w:rPr>
          <w:rFonts w:ascii="Times New Roman" w:hAnsi="Times New Roman" w:cs="Times New Roman"/>
          <w:sz w:val="28"/>
          <w:szCs w:val="28"/>
        </w:rPr>
        <w:t xml:space="preserve"> экономики страны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D79" w:rsidRPr="00A63EBA" w:rsidRDefault="008E5D79" w:rsidP="008E5D7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развития стратегически важных отраслей, в которые частные инвестиции ввиду длительного срока окупаемости, необходимого масштаба инвестиций и высокого риска не поступают. Государство </w:t>
      </w:r>
      <w:r w:rsidRPr="00B04E10">
        <w:rPr>
          <w:rFonts w:ascii="Times New Roman" w:hAnsi="Times New Roman" w:cs="Times New Roman"/>
          <w:sz w:val="28"/>
          <w:szCs w:val="28"/>
        </w:rPr>
        <w:t>устран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B04E10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испропорции</w:t>
      </w:r>
      <w:r w:rsidRPr="00B04E10">
        <w:rPr>
          <w:rFonts w:ascii="Times New Roman" w:hAnsi="Times New Roman" w:cs="Times New Roman"/>
          <w:sz w:val="28"/>
          <w:szCs w:val="28"/>
        </w:rPr>
        <w:t xml:space="preserve"> экономической с</w:t>
      </w:r>
      <w:r>
        <w:rPr>
          <w:rFonts w:ascii="Times New Roman" w:hAnsi="Times New Roman" w:cs="Times New Roman"/>
          <w:sz w:val="28"/>
          <w:szCs w:val="28"/>
        </w:rPr>
        <w:t>труктуры</w:t>
      </w:r>
      <w:r w:rsidRPr="00B04E10">
        <w:rPr>
          <w:rFonts w:ascii="Times New Roman" w:hAnsi="Times New Roman" w:cs="Times New Roman"/>
          <w:sz w:val="28"/>
          <w:szCs w:val="28"/>
        </w:rPr>
        <w:t>, угрожающи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4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национальной безопасности</w:t>
      </w:r>
      <w:r w:rsidRPr="00B04E10">
        <w:rPr>
          <w:rFonts w:ascii="Times New Roman" w:hAnsi="Times New Roman" w:cs="Times New Roman"/>
          <w:sz w:val="28"/>
          <w:szCs w:val="28"/>
        </w:rPr>
        <w:t xml:space="preserve"> страны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D79" w:rsidRDefault="008E5D79" w:rsidP="008E5D7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Сглаживание результатов несовершенств</w:t>
      </w:r>
      <w:r w:rsidR="000F6B20">
        <w:rPr>
          <w:rFonts w:ascii="Times New Roman" w:hAnsi="Times New Roman" w:cs="Times New Roman"/>
          <w:sz w:val="28"/>
          <w:szCs w:val="28"/>
        </w:rPr>
        <w:t>а рыночного механизма, выражающихся</w:t>
      </w:r>
      <w:r>
        <w:rPr>
          <w:rFonts w:ascii="Times New Roman" w:hAnsi="Times New Roman" w:cs="Times New Roman"/>
          <w:sz w:val="28"/>
          <w:szCs w:val="28"/>
        </w:rPr>
        <w:t xml:space="preserve"> в негативных последствиях сдвигов, таких как сокращение или прекращение производства, инвестиций. </w:t>
      </w:r>
    </w:p>
    <w:p w:rsidR="008E5D79" w:rsidRDefault="008E5D79" w:rsidP="008E5D7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неблагоприятных социальных эффектов: в результате структурного сдвига часть отраслей вытесняется новыми, что может привести к росту безработицы, снижению уровня дохода граждан и нарушению социальной стабильности.</w:t>
      </w:r>
    </w:p>
    <w:p w:rsidR="008E5D79" w:rsidRPr="009F6DCE" w:rsidRDefault="008E5D79" w:rsidP="008E5D79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Координация взаимодействия всех субъектов экономической системы. Согласованная деятельность субъектов позволит достичь синергетического эффекта и </w:t>
      </w:r>
      <w:r>
        <w:rPr>
          <w:rFonts w:ascii="Times New Roman" w:hAnsi="Times New Roman"/>
          <w:sz w:val="28"/>
          <w:szCs w:val="28"/>
        </w:rPr>
        <w:t>наладить</w:t>
      </w:r>
      <w:r w:rsidRPr="005C42D1">
        <w:rPr>
          <w:rFonts w:ascii="Times New Roman" w:hAnsi="Times New Roman"/>
          <w:sz w:val="28"/>
          <w:szCs w:val="28"/>
        </w:rPr>
        <w:t xml:space="preserve"> полный инновационный цикл: «фундаментальные исследования НИОКР – опытное производство – массовое производство – реализация»</w:t>
      </w:r>
      <w:r>
        <w:rPr>
          <w:rFonts w:ascii="Times New Roman" w:hAnsi="Times New Roman"/>
          <w:sz w:val="28"/>
          <w:szCs w:val="28"/>
        </w:rPr>
        <w:t>.</w:t>
      </w:r>
    </w:p>
    <w:p w:rsidR="008E5D79" w:rsidRDefault="008E5D79" w:rsidP="008E5D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считает необходимым внести ясность в понимание структурного регулирования путем конкретизации понятий «государственная структурная политика», «государственная отраслевая политика» и «государственная промышленная политика». Ряд исследователей, таких как В.Б. Кондратьев, А.И. Татаркин, О.А. Романова и другие, </w:t>
      </w:r>
      <w:r w:rsidR="000F6B20">
        <w:rPr>
          <w:rFonts w:ascii="Times New Roman" w:hAnsi="Times New Roman" w:cs="Times New Roman"/>
          <w:sz w:val="28"/>
          <w:szCs w:val="28"/>
        </w:rPr>
        <w:t>придерживаются мнения</w:t>
      </w:r>
      <w:r>
        <w:rPr>
          <w:rFonts w:ascii="Times New Roman" w:hAnsi="Times New Roman" w:cs="Times New Roman"/>
          <w:sz w:val="28"/>
          <w:szCs w:val="28"/>
        </w:rPr>
        <w:t xml:space="preserve">, что структурной политики как таковой не существует, это понятие возникает только в период структурных трансформаций, является дублирующим по отношению к основной научной категории «промышленная политика» и «растворяется» в ней </w:t>
      </w:r>
      <w:r w:rsidRPr="00F63EA7">
        <w:rPr>
          <w:rFonts w:ascii="Times New Roman" w:hAnsi="Times New Roman" w:cs="Times New Roman"/>
          <w:sz w:val="28"/>
          <w:szCs w:val="28"/>
        </w:rPr>
        <w:t>[</w:t>
      </w:r>
      <w:r w:rsidR="00194939">
        <w:rPr>
          <w:rFonts w:ascii="Times New Roman" w:hAnsi="Times New Roman" w:cs="Times New Roman"/>
          <w:sz w:val="28"/>
          <w:szCs w:val="28"/>
        </w:rPr>
        <w:t>9</w:t>
      </w:r>
      <w:r w:rsidRPr="00F63EA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E5D79" w:rsidRDefault="008E5D79" w:rsidP="008E5D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Е.П. Ардашева считает методологически более обоснованным понятие «отраслевая политика», которую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«подсистему экономической политики, призванную выполнять функцию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соуправления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отраслей экономики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целях обеспечения экономического роста и достижения иных целей, актуальных на том или ином этапе развития» </w:t>
      </w:r>
      <w:r w:rsidR="000F6B20">
        <w:rPr>
          <w:rFonts w:ascii="Times New Roman" w:hAnsi="Times New Roman" w:cs="Times New Roman"/>
          <w:sz w:val="28"/>
          <w:szCs w:val="28"/>
        </w:rPr>
        <w:t>[</w:t>
      </w:r>
      <w:r w:rsidR="00194939">
        <w:rPr>
          <w:rFonts w:ascii="Times New Roman" w:hAnsi="Times New Roman" w:cs="Times New Roman"/>
          <w:sz w:val="28"/>
          <w:szCs w:val="28"/>
        </w:rPr>
        <w:t>2</w:t>
      </w:r>
      <w:r w:rsidRPr="0028385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C7416">
        <w:rPr>
          <w:rFonts w:ascii="Times New Roman" w:hAnsi="Times New Roman" w:cs="Times New Roman"/>
          <w:sz w:val="28"/>
          <w:szCs w:val="28"/>
        </w:rPr>
        <w:t>. 1-2</w:t>
      </w:r>
      <w:r w:rsidRPr="00283851">
        <w:rPr>
          <w:rFonts w:ascii="Times New Roman" w:hAnsi="Times New Roman" w:cs="Times New Roman"/>
          <w:sz w:val="28"/>
          <w:szCs w:val="28"/>
        </w:rPr>
        <w:t>].</w:t>
      </w:r>
    </w:p>
    <w:p w:rsidR="008E5D79" w:rsidRDefault="008E5D79" w:rsidP="008E5D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О.С. Сухарев в своих исследованиях преимущественно использует термин «структурная политика», при этом отмечая два возможных подхода к его определению: широкий и узкий. Первый подход заключается «в воздействии государства на всю совокупность пропорций в экономике», второй – только в рамках межотраслевых и внутриотраслевых пропорций. Основной целью государственной структурной политики О.С. Сухарев считает «</w:t>
      </w:r>
      <w:r w:rsidRPr="004718BC">
        <w:rPr>
          <w:rFonts w:ascii="Times New Roman" w:hAnsi="Times New Roman" w:cs="Times New Roman"/>
          <w:sz w:val="28"/>
          <w:szCs w:val="28"/>
        </w:rPr>
        <w:t>достижение на плановой основе наиболее эффективного использования имеющихся в распоряжении общества ресурсов и конкурентных преимуществ в краткосрочной, среднесрочной и долгосрочной перспективах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718BC">
        <w:rPr>
          <w:rFonts w:ascii="Times New Roman" w:hAnsi="Times New Roman" w:cs="Times New Roman"/>
          <w:sz w:val="28"/>
          <w:szCs w:val="28"/>
        </w:rPr>
        <w:t>[</w:t>
      </w:r>
      <w:r w:rsidR="00194939">
        <w:rPr>
          <w:rFonts w:ascii="Times New Roman" w:hAnsi="Times New Roman" w:cs="Times New Roman"/>
          <w:sz w:val="28"/>
          <w:szCs w:val="28"/>
        </w:rPr>
        <w:t>8</w:t>
      </w:r>
      <w:r w:rsidRPr="004718B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718BC">
        <w:rPr>
          <w:rFonts w:ascii="Times New Roman" w:hAnsi="Times New Roman" w:cs="Times New Roman"/>
          <w:sz w:val="28"/>
          <w:szCs w:val="28"/>
        </w:rPr>
        <w:t>. 6]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5D79" w:rsidRDefault="008E5D79" w:rsidP="008E5D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авторской точки зрения, наиболее корректным является использование категории «структурная политика», т.к. она состоит не </w:t>
      </w:r>
      <w:r w:rsidRPr="00075C3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Pr="00B0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воздействия государства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промышленность, но и </w:t>
      </w:r>
      <w:r w:rsidR="000F6B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в себя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регулирование прочих отраслей и секторов экономики,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F59">
        <w:rPr>
          <w:rFonts w:ascii="Times New Roman" w:hAnsi="Times New Roman" w:cs="Times New Roman"/>
          <w:sz w:val="28"/>
          <w:szCs w:val="28"/>
        </w:rPr>
        <w:t>форсиру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F07F59">
        <w:rPr>
          <w:rFonts w:ascii="Times New Roman" w:hAnsi="Times New Roman" w:cs="Times New Roman"/>
          <w:sz w:val="28"/>
          <w:szCs w:val="28"/>
        </w:rPr>
        <w:t>прогрессивные структурные сдвиги.</w:t>
      </w:r>
      <w:r>
        <w:rPr>
          <w:rFonts w:ascii="Times New Roman" w:hAnsi="Times New Roman" w:cs="Times New Roman"/>
          <w:sz w:val="28"/>
          <w:szCs w:val="28"/>
        </w:rPr>
        <w:t xml:space="preserve"> Структ</w:t>
      </w:r>
      <w:r w:rsidR="00B65B4F">
        <w:rPr>
          <w:rFonts w:ascii="Times New Roman" w:hAnsi="Times New Roman" w:cs="Times New Roman"/>
          <w:sz w:val="28"/>
          <w:szCs w:val="28"/>
        </w:rPr>
        <w:t>урную политику автор определяет</w:t>
      </w:r>
      <w:r>
        <w:rPr>
          <w:rFonts w:ascii="Times New Roman" w:hAnsi="Times New Roman" w:cs="Times New Roman"/>
          <w:sz w:val="28"/>
          <w:szCs w:val="28"/>
        </w:rPr>
        <w:t xml:space="preserve"> как составляющую правительственной долгосрочной социально-экономической политики, ориентированную на устранение деформаций экономической системы и формирование оптимальных пропорций между элементами системы. Целью государственной структурной политики является </w:t>
      </w:r>
      <w:r w:rsidRPr="00B04E10">
        <w:rPr>
          <w:rFonts w:ascii="Times New Roman" w:hAnsi="Times New Roman" w:cs="Times New Roman"/>
          <w:sz w:val="28"/>
          <w:szCs w:val="28"/>
        </w:rPr>
        <w:t>сбалансированно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4E10">
        <w:rPr>
          <w:rFonts w:ascii="Times New Roman" w:hAnsi="Times New Roman" w:cs="Times New Roman"/>
          <w:sz w:val="28"/>
          <w:szCs w:val="28"/>
        </w:rPr>
        <w:t xml:space="preserve"> структурно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65B4F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Pr="00B04E10">
        <w:rPr>
          <w:rFonts w:ascii="Times New Roman" w:hAnsi="Times New Roman" w:cs="Times New Roman"/>
          <w:sz w:val="28"/>
          <w:szCs w:val="28"/>
        </w:rPr>
        <w:t xml:space="preserve"> экономики </w:t>
      </w:r>
      <w:r>
        <w:rPr>
          <w:rFonts w:ascii="Times New Roman" w:hAnsi="Times New Roman" w:cs="Times New Roman"/>
          <w:sz w:val="28"/>
          <w:szCs w:val="28"/>
        </w:rPr>
        <w:t>государства, выражающееся в повышении конкурентоспособности отечественной продукции, обеспечении позитивных структурных сдвигов на основе достижений научно-технического прогресса и диффузии передовых технологий в сторону отраслей, выпускающих продукцию с высокой добавленной стоимостью.</w:t>
      </w:r>
    </w:p>
    <w:p w:rsidR="008E5D79" w:rsidRDefault="008E5D79" w:rsidP="008E5D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выделяет следующие этапы формирования государственной структурной политики:</w:t>
      </w:r>
    </w:p>
    <w:p w:rsidR="008E5D79" w:rsidRDefault="008E5D79" w:rsidP="008E5D7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Обозначение долгосрочных целей и четких индикаторов их достижения</w:t>
      </w:r>
      <w:r w:rsidR="00B65B4F">
        <w:rPr>
          <w:rFonts w:ascii="Times New Roman" w:hAnsi="Times New Roman" w:cs="Times New Roman"/>
          <w:sz w:val="28"/>
          <w:szCs w:val="28"/>
        </w:rPr>
        <w:t>.</w:t>
      </w:r>
    </w:p>
    <w:p w:rsidR="008E5D79" w:rsidRDefault="008E5D79" w:rsidP="008E5D7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текущего состояния структуры экономики и выявление основных структурных проблем</w:t>
      </w:r>
      <w:r w:rsidR="00B65B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D79" w:rsidRDefault="008E5D79" w:rsidP="008E5D7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Определение экзогенных и эндогенных факторов, имеющих наибольшее воздействие на структурные пропорции экономики, а также возможных рисков</w:t>
      </w:r>
      <w:r w:rsidR="00B65B4F">
        <w:rPr>
          <w:rFonts w:ascii="Times New Roman" w:hAnsi="Times New Roman" w:cs="Times New Roman"/>
          <w:sz w:val="28"/>
          <w:szCs w:val="28"/>
        </w:rPr>
        <w:t>.</w:t>
      </w:r>
    </w:p>
    <w:p w:rsidR="008E5D79" w:rsidRDefault="008E5D79" w:rsidP="008E5D7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приоритетных сфер и отраслей национальной экономики в рамках структурной политики</w:t>
      </w:r>
      <w:r w:rsidR="00B65B4F">
        <w:rPr>
          <w:rFonts w:ascii="Times New Roman" w:hAnsi="Times New Roman" w:cs="Times New Roman"/>
          <w:sz w:val="28"/>
          <w:szCs w:val="28"/>
        </w:rPr>
        <w:t>.</w:t>
      </w:r>
    </w:p>
    <w:p w:rsidR="008E5D79" w:rsidRDefault="008E5D79" w:rsidP="008E5D7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Детерминирование основных мероприятий с указанием необходимых ресурсов, условий и механизмов для их реализации</w:t>
      </w:r>
      <w:r w:rsidR="00B65B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D79" w:rsidRDefault="008E5D79" w:rsidP="008E5D79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реализации мероприятий структурной политики и оценка их эффективности</w:t>
      </w:r>
      <w:r w:rsidR="00B65B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D79" w:rsidRDefault="008E5D79" w:rsidP="008E5D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416">
        <w:rPr>
          <w:rFonts w:ascii="Times New Roman" w:hAnsi="Times New Roman" w:cs="Times New Roman"/>
          <w:sz w:val="28"/>
          <w:szCs w:val="28"/>
        </w:rPr>
        <w:t xml:space="preserve">Таким образом, исходя из целей и задач структурной политики, </w:t>
      </w:r>
      <w:r w:rsidR="00B65B4F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0C7416">
        <w:rPr>
          <w:rFonts w:ascii="Times New Roman" w:hAnsi="Times New Roman" w:cs="Times New Roman"/>
          <w:sz w:val="28"/>
          <w:szCs w:val="28"/>
        </w:rPr>
        <w:t>определ</w:t>
      </w:r>
      <w:r w:rsidR="00B65B4F">
        <w:rPr>
          <w:rFonts w:ascii="Times New Roman" w:hAnsi="Times New Roman" w:cs="Times New Roman"/>
          <w:sz w:val="28"/>
          <w:szCs w:val="28"/>
        </w:rPr>
        <w:t>ены</w:t>
      </w:r>
      <w:r w:rsidRPr="000C7416">
        <w:rPr>
          <w:rFonts w:ascii="Times New Roman" w:hAnsi="Times New Roman" w:cs="Times New Roman"/>
          <w:sz w:val="28"/>
          <w:szCs w:val="28"/>
        </w:rPr>
        <w:t xml:space="preserve"> механизмы ее проведения и комплекс мер для ее реализации. С авторской точки зрения, государственная структурная политика должна осуществляться посредством модернизации хозяйственных пропорций структуры экономики. Модернизация требует определенных инструментов, позволяющих воздействовать на элементы существующей структуры экономики и является процессом, направленным на повышение уровня развития технологической базы и формирование эффективной системы отраслей.</w:t>
      </w:r>
    </w:p>
    <w:p w:rsidR="00D57173" w:rsidRDefault="008E5D79" w:rsidP="00A83B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в </w:t>
      </w:r>
      <w:r w:rsidR="00D57173">
        <w:rPr>
          <w:rFonts w:ascii="Times New Roman" w:hAnsi="Times New Roman" w:cs="Times New Roman"/>
          <w:sz w:val="28"/>
          <w:szCs w:val="28"/>
        </w:rPr>
        <w:t>структуре мировой экономики находят отражение следующие тенденции: на смену «классической» модели структурных преобразований, предполагающей увеличение удельного веса промышленности и сокращение первичного сектора ВВП</w:t>
      </w:r>
      <w:r w:rsidR="00B65B4F">
        <w:rPr>
          <w:rFonts w:ascii="Times New Roman" w:hAnsi="Times New Roman" w:cs="Times New Roman"/>
          <w:sz w:val="28"/>
          <w:szCs w:val="28"/>
        </w:rPr>
        <w:t>,</w:t>
      </w:r>
      <w:r w:rsidR="00D57173">
        <w:rPr>
          <w:rFonts w:ascii="Times New Roman" w:hAnsi="Times New Roman" w:cs="Times New Roman"/>
          <w:sz w:val="28"/>
          <w:szCs w:val="28"/>
        </w:rPr>
        <w:t xml:space="preserve"> приходит новая модель структурных сдвигов</w:t>
      </w:r>
      <w:r w:rsidR="00D57173" w:rsidRPr="000F2BC1">
        <w:rPr>
          <w:rFonts w:ascii="Times New Roman" w:hAnsi="Times New Roman" w:cs="Times New Roman"/>
          <w:sz w:val="28"/>
          <w:szCs w:val="28"/>
        </w:rPr>
        <w:t xml:space="preserve"> [</w:t>
      </w:r>
      <w:r w:rsidR="00F43820">
        <w:rPr>
          <w:rFonts w:ascii="Times New Roman" w:hAnsi="Times New Roman" w:cs="Times New Roman"/>
          <w:sz w:val="28"/>
          <w:szCs w:val="28"/>
        </w:rPr>
        <w:t>10</w:t>
      </w:r>
      <w:r w:rsidR="00D57173" w:rsidRPr="000F2BC1">
        <w:rPr>
          <w:rFonts w:ascii="Times New Roman" w:hAnsi="Times New Roman" w:cs="Times New Roman"/>
          <w:sz w:val="28"/>
          <w:szCs w:val="28"/>
        </w:rPr>
        <w:t>]</w:t>
      </w:r>
      <w:r w:rsidR="00D57173">
        <w:rPr>
          <w:rFonts w:ascii="Times New Roman" w:hAnsi="Times New Roman" w:cs="Times New Roman"/>
          <w:sz w:val="28"/>
          <w:szCs w:val="28"/>
        </w:rPr>
        <w:t>.  В развитых странах по мере достижения определенного дохода на душу населения доля промышленного производства в ВВП начинает сокращаться (снижение с 26% до 14%</w:t>
      </w:r>
      <w:r w:rsidR="00B65B4F">
        <w:rPr>
          <w:rFonts w:ascii="Times New Roman" w:hAnsi="Times New Roman" w:cs="Times New Roman"/>
          <w:sz w:val="28"/>
          <w:szCs w:val="28"/>
        </w:rPr>
        <w:t xml:space="preserve"> </w:t>
      </w:r>
      <w:r w:rsidR="00812B93" w:rsidRPr="00812B93">
        <w:rPr>
          <w:rFonts w:ascii="Times New Roman" w:hAnsi="Times New Roman" w:cs="Times New Roman"/>
          <w:sz w:val="28"/>
          <w:szCs w:val="28"/>
        </w:rPr>
        <w:t>за последние двадцать лет</w:t>
      </w:r>
      <w:r w:rsidR="00D57173" w:rsidRPr="00812B93">
        <w:rPr>
          <w:rFonts w:ascii="Times New Roman" w:hAnsi="Times New Roman" w:cs="Times New Roman"/>
          <w:sz w:val="28"/>
          <w:szCs w:val="28"/>
        </w:rPr>
        <w:t>),</w:t>
      </w:r>
      <w:r w:rsidR="00D57173">
        <w:rPr>
          <w:rFonts w:ascii="Times New Roman" w:hAnsi="Times New Roman" w:cs="Times New Roman"/>
          <w:sz w:val="28"/>
          <w:szCs w:val="28"/>
        </w:rPr>
        <w:t xml:space="preserve"> замещаясь сферой услуг, которая с 2009 г. обеспечивает 75% национального дохода </w:t>
      </w:r>
      <w:r w:rsidR="00D57173" w:rsidRPr="00282A88">
        <w:rPr>
          <w:rFonts w:ascii="Times New Roman" w:hAnsi="Times New Roman" w:cs="Times New Roman"/>
          <w:sz w:val="28"/>
          <w:szCs w:val="28"/>
        </w:rPr>
        <w:t>[</w:t>
      </w:r>
      <w:r w:rsidR="00F43820">
        <w:rPr>
          <w:rFonts w:ascii="Times New Roman" w:hAnsi="Times New Roman" w:cs="Times New Roman"/>
          <w:sz w:val="28"/>
          <w:szCs w:val="28"/>
        </w:rPr>
        <w:t>4</w:t>
      </w:r>
      <w:r w:rsidR="00D57173" w:rsidRPr="00282A88">
        <w:rPr>
          <w:rFonts w:ascii="Times New Roman" w:hAnsi="Times New Roman" w:cs="Times New Roman"/>
          <w:sz w:val="28"/>
          <w:szCs w:val="28"/>
        </w:rPr>
        <w:t xml:space="preserve">. </w:t>
      </w:r>
      <w:r w:rsidR="00D5717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57173" w:rsidRPr="00282A88">
        <w:rPr>
          <w:rFonts w:ascii="Times New Roman" w:hAnsi="Times New Roman" w:cs="Times New Roman"/>
          <w:sz w:val="28"/>
          <w:szCs w:val="28"/>
        </w:rPr>
        <w:t>. 61]</w:t>
      </w:r>
      <w:r w:rsidR="00D57173">
        <w:rPr>
          <w:rFonts w:ascii="Times New Roman" w:hAnsi="Times New Roman" w:cs="Times New Roman"/>
          <w:sz w:val="28"/>
          <w:szCs w:val="28"/>
        </w:rPr>
        <w:t>. Однако промышленность является базой для технологических изменений.</w:t>
      </w:r>
      <w:r w:rsidR="00D57173" w:rsidRPr="000F2BC1">
        <w:rPr>
          <w:rFonts w:ascii="Times New Roman" w:hAnsi="Times New Roman" w:cs="Times New Roman"/>
          <w:sz w:val="28"/>
          <w:szCs w:val="28"/>
        </w:rPr>
        <w:t xml:space="preserve"> </w:t>
      </w:r>
      <w:r w:rsidR="00D57173">
        <w:rPr>
          <w:rFonts w:ascii="Times New Roman" w:hAnsi="Times New Roman" w:cs="Times New Roman"/>
          <w:sz w:val="28"/>
          <w:szCs w:val="28"/>
        </w:rPr>
        <w:t xml:space="preserve">Для российской экономики первоочередное значение на сегодняшний день имеет обрабатывающая промышленность как основа для структурных изменений, перехода от трудоемких видов экономической деятельности к капиталоемким и технологическиемким. </w:t>
      </w:r>
    </w:p>
    <w:p w:rsidR="00D57173" w:rsidRDefault="00D57173" w:rsidP="00D571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</w:t>
      </w:r>
      <w:r w:rsidR="00B65B4F">
        <w:rPr>
          <w:rFonts w:ascii="Times New Roman" w:hAnsi="Times New Roman" w:cs="Times New Roman"/>
          <w:sz w:val="28"/>
          <w:szCs w:val="28"/>
        </w:rPr>
        <w:t>данным исследования</w:t>
      </w:r>
      <w:r>
        <w:rPr>
          <w:rFonts w:ascii="Times New Roman" w:hAnsi="Times New Roman" w:cs="Times New Roman"/>
          <w:sz w:val="28"/>
          <w:szCs w:val="28"/>
        </w:rPr>
        <w:t>, проведенно</w:t>
      </w:r>
      <w:r w:rsidR="00B65B4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Организацией Объединенных Наций по промышленному развитию, процесс увеличения сферы услуг при сокращении обрабатывающих производств («преждевременная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деиндустриализация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») крайне негативно сказывается на экономическом росте развивающихся стран. Обрабатывающая промышленность должна являться фактором роста в экономике, процесс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деиндустриализации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возможен только пр</w:t>
      </w:r>
      <w:r w:rsidR="00B65B4F">
        <w:rPr>
          <w:rFonts w:ascii="Times New Roman" w:hAnsi="Times New Roman" w:cs="Times New Roman"/>
          <w:sz w:val="28"/>
          <w:szCs w:val="28"/>
        </w:rPr>
        <w:t>и достижении высокого дохода на</w:t>
      </w:r>
      <w:r>
        <w:rPr>
          <w:rFonts w:ascii="Times New Roman" w:hAnsi="Times New Roman" w:cs="Times New Roman"/>
          <w:sz w:val="28"/>
          <w:szCs w:val="28"/>
        </w:rPr>
        <w:t xml:space="preserve"> душу населения </w:t>
      </w:r>
      <w:r w:rsidRPr="007435A2">
        <w:rPr>
          <w:rFonts w:ascii="Times New Roman" w:hAnsi="Times New Roman" w:cs="Times New Roman"/>
          <w:sz w:val="28"/>
          <w:szCs w:val="28"/>
        </w:rPr>
        <w:t>[</w:t>
      </w:r>
      <w:r w:rsidR="00194939">
        <w:rPr>
          <w:rFonts w:ascii="Times New Roman" w:hAnsi="Times New Roman" w:cs="Times New Roman"/>
          <w:sz w:val="28"/>
          <w:szCs w:val="28"/>
        </w:rPr>
        <w:t>4</w:t>
      </w:r>
      <w:r w:rsidRPr="007435A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7173" w:rsidRDefault="00D57173" w:rsidP="00D57173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этим возрастает значение </w:t>
      </w:r>
      <w:r w:rsidRPr="00B04E10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04E10">
        <w:rPr>
          <w:rFonts w:ascii="Times New Roman" w:hAnsi="Times New Roman" w:cs="Times New Roman"/>
          <w:sz w:val="28"/>
          <w:szCs w:val="28"/>
        </w:rPr>
        <w:t xml:space="preserve"> обрабатывающей промышленности, высоких технологий и наукоемких производств</w:t>
      </w:r>
      <w:r>
        <w:rPr>
          <w:rFonts w:ascii="Times New Roman" w:hAnsi="Times New Roman" w:cs="Times New Roman"/>
          <w:sz w:val="28"/>
          <w:szCs w:val="28"/>
        </w:rPr>
        <w:t xml:space="preserve"> в российской экономике, обусловленное следующими обстоятельствами:</w:t>
      </w:r>
    </w:p>
    <w:p w:rsidR="00D57173" w:rsidRDefault="00B65B4F" w:rsidP="00D5717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57173">
        <w:rPr>
          <w:rFonts w:ascii="Times New Roman" w:hAnsi="Times New Roman" w:cs="Times New Roman"/>
          <w:sz w:val="28"/>
          <w:szCs w:val="28"/>
        </w:rPr>
        <w:t>нтеграция в мировую экономику способствовала стагнации обрабатывающей промышленности и препятствовала диверсификации промышленной базы;</w:t>
      </w:r>
    </w:p>
    <w:p w:rsidR="00D57173" w:rsidRDefault="00B65B4F" w:rsidP="00D5717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57173">
        <w:rPr>
          <w:rFonts w:ascii="Times New Roman" w:hAnsi="Times New Roman" w:cs="Times New Roman"/>
          <w:sz w:val="28"/>
          <w:szCs w:val="28"/>
        </w:rPr>
        <w:t>амедление роста глобального спроса на энергоресурсы;</w:t>
      </w:r>
    </w:p>
    <w:p w:rsidR="00D57173" w:rsidRDefault="00B65B4F" w:rsidP="00D5717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57173">
        <w:rPr>
          <w:rFonts w:ascii="Times New Roman" w:hAnsi="Times New Roman" w:cs="Times New Roman"/>
          <w:sz w:val="28"/>
          <w:szCs w:val="28"/>
        </w:rPr>
        <w:t>язвимость экономики от внешних шоков, волатильность макроэкономических показателей;</w:t>
      </w:r>
    </w:p>
    <w:p w:rsidR="00D57173" w:rsidRDefault="00B65B4F" w:rsidP="00D57173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Зз</w:t>
      </w:r>
      <w:r w:rsidR="00D57173">
        <w:rPr>
          <w:rFonts w:ascii="Times New Roman" w:hAnsi="Times New Roman" w:cs="Times New Roman"/>
          <w:sz w:val="28"/>
          <w:szCs w:val="28"/>
        </w:rPr>
        <w:t>вершение</w:t>
      </w:r>
      <w:proofErr w:type="spellEnd"/>
      <w:r w:rsidR="00D57173">
        <w:rPr>
          <w:rFonts w:ascii="Times New Roman" w:hAnsi="Times New Roman" w:cs="Times New Roman"/>
          <w:sz w:val="28"/>
          <w:szCs w:val="28"/>
        </w:rPr>
        <w:t xml:space="preserve"> «сырьевого </w:t>
      </w:r>
      <w:proofErr w:type="spellStart"/>
      <w:r w:rsidR="00D57173">
        <w:rPr>
          <w:rFonts w:ascii="Times New Roman" w:hAnsi="Times New Roman" w:cs="Times New Roman"/>
          <w:sz w:val="28"/>
          <w:szCs w:val="28"/>
        </w:rPr>
        <w:t>суперцикла</w:t>
      </w:r>
      <w:proofErr w:type="spellEnd"/>
      <w:r w:rsidR="00D57173">
        <w:rPr>
          <w:rFonts w:ascii="Times New Roman" w:hAnsi="Times New Roman" w:cs="Times New Roman"/>
          <w:sz w:val="28"/>
          <w:szCs w:val="28"/>
        </w:rPr>
        <w:t>», как следствие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57173">
        <w:rPr>
          <w:rFonts w:ascii="Times New Roman" w:hAnsi="Times New Roman" w:cs="Times New Roman"/>
          <w:sz w:val="28"/>
          <w:szCs w:val="28"/>
        </w:rPr>
        <w:t xml:space="preserve">резкое сокращение </w:t>
      </w:r>
      <w:proofErr w:type="gramStart"/>
      <w:r w:rsidR="00D57173">
        <w:rPr>
          <w:rFonts w:ascii="Times New Roman" w:hAnsi="Times New Roman" w:cs="Times New Roman"/>
          <w:sz w:val="28"/>
          <w:szCs w:val="28"/>
        </w:rPr>
        <w:t>инвестиций  и</w:t>
      </w:r>
      <w:proofErr w:type="gramEnd"/>
      <w:r w:rsidR="00D57173">
        <w:rPr>
          <w:rFonts w:ascii="Times New Roman" w:hAnsi="Times New Roman" w:cs="Times New Roman"/>
          <w:sz w:val="28"/>
          <w:szCs w:val="28"/>
        </w:rPr>
        <w:t xml:space="preserve"> поступлений в бюджет сверхдоходов, вызванных бумом цен на сырье.</w:t>
      </w:r>
    </w:p>
    <w:p w:rsidR="00D57173" w:rsidRPr="00D57173" w:rsidRDefault="009A4F9D" w:rsidP="009A4F9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с учетом специфики российской экономики</w:t>
      </w:r>
      <w:r w:rsidR="0044130F">
        <w:rPr>
          <w:rFonts w:ascii="Times New Roman" w:hAnsi="Times New Roman" w:cs="Times New Roman"/>
          <w:sz w:val="28"/>
          <w:szCs w:val="28"/>
        </w:rPr>
        <w:t xml:space="preserve"> очевидной является необходимость </w:t>
      </w:r>
      <w:r w:rsidR="00BD18B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44130F">
        <w:rPr>
          <w:rFonts w:ascii="Times New Roman" w:hAnsi="Times New Roman" w:cs="Times New Roman"/>
          <w:sz w:val="28"/>
          <w:szCs w:val="28"/>
        </w:rPr>
        <w:t>активной</w:t>
      </w:r>
      <w:r w:rsidR="00273E1B">
        <w:rPr>
          <w:rFonts w:ascii="Times New Roman" w:hAnsi="Times New Roman" w:cs="Times New Roman"/>
          <w:sz w:val="28"/>
          <w:szCs w:val="28"/>
        </w:rPr>
        <w:t xml:space="preserve"> научно-технологической политики государства как части структурной политики, </w:t>
      </w:r>
      <w:r w:rsidR="00273E1B" w:rsidRPr="006F0485">
        <w:rPr>
          <w:rFonts w:ascii="Times New Roman" w:hAnsi="Times New Roman" w:cs="Times New Roman"/>
          <w:sz w:val="28"/>
          <w:szCs w:val="28"/>
        </w:rPr>
        <w:t>обеспечивающ</w:t>
      </w:r>
      <w:r w:rsidR="00273E1B">
        <w:rPr>
          <w:rFonts w:ascii="Times New Roman" w:hAnsi="Times New Roman" w:cs="Times New Roman"/>
          <w:sz w:val="28"/>
          <w:szCs w:val="28"/>
        </w:rPr>
        <w:t>ей</w:t>
      </w:r>
      <w:r w:rsidR="00273E1B" w:rsidRPr="006F0485">
        <w:rPr>
          <w:rFonts w:ascii="Times New Roman" w:hAnsi="Times New Roman" w:cs="Times New Roman"/>
          <w:sz w:val="28"/>
          <w:szCs w:val="28"/>
        </w:rPr>
        <w:t xml:space="preserve"> прогрессивные структурно-техн</w:t>
      </w:r>
      <w:r w:rsidR="00B65B4F">
        <w:rPr>
          <w:rFonts w:ascii="Times New Roman" w:hAnsi="Times New Roman" w:cs="Times New Roman"/>
          <w:sz w:val="28"/>
          <w:szCs w:val="28"/>
        </w:rPr>
        <w:t xml:space="preserve">ологические сдвиги в экономике и </w:t>
      </w:r>
      <w:r w:rsidR="00273E1B" w:rsidRPr="006F0485">
        <w:rPr>
          <w:rFonts w:ascii="Times New Roman" w:hAnsi="Times New Roman" w:cs="Times New Roman"/>
          <w:sz w:val="28"/>
          <w:szCs w:val="28"/>
        </w:rPr>
        <w:t>позволяющ</w:t>
      </w:r>
      <w:r w:rsidR="00273E1B">
        <w:rPr>
          <w:rFonts w:ascii="Times New Roman" w:hAnsi="Times New Roman" w:cs="Times New Roman"/>
          <w:sz w:val="28"/>
          <w:szCs w:val="28"/>
        </w:rPr>
        <w:t>ей</w:t>
      </w:r>
      <w:r w:rsidR="00273E1B" w:rsidRPr="006F0485">
        <w:rPr>
          <w:rFonts w:ascii="Times New Roman" w:hAnsi="Times New Roman" w:cs="Times New Roman"/>
          <w:sz w:val="28"/>
          <w:szCs w:val="28"/>
        </w:rPr>
        <w:t xml:space="preserve"> создавать конкурентоспособный продукт</w:t>
      </w:r>
      <w:r w:rsidR="00273E1B">
        <w:rPr>
          <w:rFonts w:ascii="Times New Roman" w:hAnsi="Times New Roman" w:cs="Times New Roman"/>
          <w:sz w:val="28"/>
          <w:szCs w:val="28"/>
        </w:rPr>
        <w:t xml:space="preserve">. </w:t>
      </w:r>
      <w:r w:rsidR="00441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E1B">
        <w:rPr>
          <w:rFonts w:ascii="Times New Roman" w:hAnsi="Times New Roman" w:cs="Times New Roman"/>
          <w:sz w:val="28"/>
          <w:szCs w:val="28"/>
        </w:rPr>
        <w:t>Ц</w:t>
      </w:r>
      <w:r w:rsidR="00A83B1A">
        <w:rPr>
          <w:rFonts w:ascii="Times New Roman" w:hAnsi="Times New Roman" w:cs="Times New Roman"/>
          <w:sz w:val="28"/>
          <w:szCs w:val="28"/>
        </w:rPr>
        <w:t>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83B1A">
        <w:rPr>
          <w:rFonts w:ascii="Times New Roman" w:hAnsi="Times New Roman" w:cs="Times New Roman"/>
          <w:sz w:val="28"/>
          <w:szCs w:val="28"/>
        </w:rPr>
        <w:t xml:space="preserve"> научно-технологической политики государства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A83B1A">
        <w:rPr>
          <w:rFonts w:ascii="Times New Roman" w:hAnsi="Times New Roman" w:cs="Times New Roman"/>
          <w:sz w:val="28"/>
          <w:szCs w:val="28"/>
        </w:rPr>
        <w:t>обеспечение экономического роста за счет технологического развития на базе передовых технологий.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83B1A">
        <w:rPr>
          <w:rFonts w:ascii="Times New Roman" w:hAnsi="Times New Roman" w:cs="Times New Roman"/>
          <w:sz w:val="28"/>
          <w:szCs w:val="28"/>
        </w:rPr>
        <w:t xml:space="preserve"> задачаи российской государственной научно-технологической политики на сегодняшний день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A83B1A">
        <w:rPr>
          <w:rFonts w:ascii="Times New Roman" w:hAnsi="Times New Roman" w:cs="Times New Roman"/>
          <w:sz w:val="28"/>
          <w:szCs w:val="28"/>
        </w:rPr>
        <w:t xml:space="preserve"> повышение эффективности производственно-технологической структуры, увеличение присутствия на мировых рынках высоких технологий, ликвидация диспропорций технологической структуры экономики. Национальная научно-</w:t>
      </w:r>
      <w:r w:rsidR="00A83B1A">
        <w:rPr>
          <w:rFonts w:ascii="Times New Roman" w:hAnsi="Times New Roman" w:cs="Times New Roman"/>
          <w:sz w:val="28"/>
          <w:szCs w:val="28"/>
        </w:rPr>
        <w:lastRenderedPageBreak/>
        <w:t>технологическая политика должна отвечать мировым тенденциям научно-технологического развития, которые заключаются в сокращении временного лага между изобретением технологии и ее внедрением, увеличени</w:t>
      </w:r>
      <w:r w:rsidR="00B65B4F">
        <w:rPr>
          <w:rFonts w:ascii="Times New Roman" w:hAnsi="Times New Roman" w:cs="Times New Roman"/>
          <w:sz w:val="28"/>
          <w:szCs w:val="28"/>
        </w:rPr>
        <w:t>и</w:t>
      </w:r>
      <w:r w:rsidR="00A83B1A">
        <w:rPr>
          <w:rFonts w:ascii="Times New Roman" w:hAnsi="Times New Roman" w:cs="Times New Roman"/>
          <w:sz w:val="28"/>
          <w:szCs w:val="28"/>
        </w:rPr>
        <w:t xml:space="preserve"> темпов накопления научных знаний, распространени</w:t>
      </w:r>
      <w:r w:rsidR="00B65B4F">
        <w:rPr>
          <w:rFonts w:ascii="Times New Roman" w:hAnsi="Times New Roman" w:cs="Times New Roman"/>
          <w:sz w:val="28"/>
          <w:szCs w:val="28"/>
        </w:rPr>
        <w:t>и</w:t>
      </w:r>
      <w:r w:rsidR="00A83B1A">
        <w:rPr>
          <w:rFonts w:ascii="Times New Roman" w:hAnsi="Times New Roman" w:cs="Times New Roman"/>
          <w:sz w:val="28"/>
          <w:szCs w:val="28"/>
        </w:rPr>
        <w:t xml:space="preserve"> принципов технологической конвергенции, основанной на </w:t>
      </w:r>
      <w:r w:rsidR="00A83B1A" w:rsidRPr="00A108AA">
        <w:rPr>
          <w:rFonts w:ascii="Times New Roman" w:hAnsi="Times New Roman" w:cs="Times New Roman"/>
          <w:sz w:val="28"/>
          <w:szCs w:val="28"/>
        </w:rPr>
        <w:t>междисциплинарном метод</w:t>
      </w:r>
      <w:r w:rsidR="00A83B1A">
        <w:rPr>
          <w:rFonts w:ascii="Times New Roman" w:hAnsi="Times New Roman" w:cs="Times New Roman"/>
          <w:sz w:val="28"/>
          <w:szCs w:val="28"/>
        </w:rPr>
        <w:t>е</w:t>
      </w:r>
      <w:r w:rsidR="00A83B1A" w:rsidRPr="00A108AA">
        <w:rPr>
          <w:rFonts w:ascii="Times New Roman" w:hAnsi="Times New Roman" w:cs="Times New Roman"/>
          <w:sz w:val="28"/>
          <w:szCs w:val="28"/>
        </w:rPr>
        <w:t xml:space="preserve"> проведения</w:t>
      </w:r>
      <w:r w:rsidR="00A83B1A">
        <w:rPr>
          <w:rFonts w:ascii="Times New Roman" w:hAnsi="Times New Roman" w:cs="Times New Roman"/>
          <w:sz w:val="28"/>
          <w:szCs w:val="28"/>
        </w:rPr>
        <w:t xml:space="preserve"> </w:t>
      </w:r>
      <w:r w:rsidR="00A83B1A" w:rsidRPr="00A108AA">
        <w:rPr>
          <w:rFonts w:ascii="Times New Roman" w:hAnsi="Times New Roman" w:cs="Times New Roman"/>
          <w:sz w:val="28"/>
          <w:szCs w:val="28"/>
        </w:rPr>
        <w:t>научных исследований</w:t>
      </w:r>
      <w:r w:rsidR="00A83B1A">
        <w:rPr>
          <w:rFonts w:ascii="Times New Roman" w:hAnsi="Times New Roman" w:cs="Times New Roman"/>
          <w:sz w:val="28"/>
          <w:szCs w:val="28"/>
        </w:rPr>
        <w:t xml:space="preserve"> и синтезе </w:t>
      </w:r>
      <w:r w:rsidR="00A83B1A" w:rsidRPr="00A108AA">
        <w:rPr>
          <w:rFonts w:ascii="Times New Roman" w:hAnsi="Times New Roman" w:cs="Times New Roman"/>
          <w:sz w:val="28"/>
          <w:szCs w:val="28"/>
        </w:rPr>
        <w:t>современных наукоемких технологий</w:t>
      </w:r>
      <w:r w:rsidR="00A83B1A">
        <w:rPr>
          <w:rFonts w:ascii="Times New Roman" w:hAnsi="Times New Roman" w:cs="Times New Roman"/>
          <w:sz w:val="28"/>
          <w:szCs w:val="28"/>
        </w:rPr>
        <w:t>.</w:t>
      </w:r>
    </w:p>
    <w:p w:rsidR="00EF31B5" w:rsidRDefault="00EF31B5" w:rsidP="00432ABE">
      <w:pPr>
        <w:rPr>
          <w:rFonts w:ascii="Times New Roman" w:hAnsi="Times New Roman" w:cs="Times New Roman"/>
          <w:sz w:val="24"/>
          <w:szCs w:val="24"/>
        </w:rPr>
      </w:pPr>
    </w:p>
    <w:p w:rsidR="00635D3E" w:rsidRPr="00DA4D49" w:rsidRDefault="00432ABE" w:rsidP="00DA4D49">
      <w:pPr>
        <w:rPr>
          <w:rFonts w:ascii="Times New Roman" w:hAnsi="Times New Roman" w:cs="Times New Roman"/>
          <w:sz w:val="28"/>
          <w:szCs w:val="28"/>
        </w:rPr>
      </w:pPr>
      <w:r w:rsidRPr="00432ABE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635D3E" w:rsidRDefault="00635D3E" w:rsidP="00635D3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AB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Авдеева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432AB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О. А., </w:t>
      </w:r>
      <w:proofErr w:type="spellStart"/>
      <w:r w:rsidRPr="00432AB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Пролубников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432AB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А. В., Окунев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</w:t>
      </w:r>
      <w:r w:rsidRPr="00432AB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Д. О. Технологический платежный баланс РФ: анализ участия страны в международной торговле технологиями // ЭКО. Всероссийский экономический журнал. – 2017. -  № 8. C. 164-174</w:t>
      </w:r>
    </w:p>
    <w:p w:rsidR="00635D3E" w:rsidRPr="00432ABE" w:rsidRDefault="00635D3E" w:rsidP="00635D3E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ABE">
        <w:rPr>
          <w:rFonts w:ascii="Times New Roman" w:hAnsi="Times New Roman" w:cs="Times New Roman"/>
          <w:sz w:val="28"/>
          <w:szCs w:val="28"/>
        </w:rPr>
        <w:t>Ардашева Е.П. Структурно-функциональная, статико-динамическая модель отраслевой политики // Российский экономический интернет-журнал. – 2006. - № 4. С. 1-9</w:t>
      </w:r>
    </w:p>
    <w:p w:rsidR="00635D3E" w:rsidRDefault="00635D3E" w:rsidP="00635D3E">
      <w:pPr>
        <w:pStyle w:val="a3"/>
        <w:numPr>
          <w:ilvl w:val="0"/>
          <w:numId w:val="8"/>
        </w:numPr>
        <w:spacing w:after="16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2ABE">
        <w:rPr>
          <w:rFonts w:ascii="Times New Roman" w:hAnsi="Times New Roman" w:cs="Times New Roman"/>
          <w:color w:val="000000"/>
          <w:sz w:val="28"/>
          <w:szCs w:val="28"/>
        </w:rPr>
        <w:t>Внешняя торговля Российской Федерации по товарам // Федеральная таможенная служба</w:t>
      </w:r>
      <w:r w:rsidRPr="00432ABE">
        <w:rPr>
          <w:rFonts w:ascii="Times New Roman" w:hAnsi="Times New Roman" w:cs="Times New Roman"/>
          <w:sz w:val="28"/>
          <w:szCs w:val="28"/>
        </w:rPr>
        <w:t xml:space="preserve">. </w:t>
      </w:r>
      <w:r w:rsidRPr="00432AB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32ABE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http://customs.ru/index.php?option=com_newsfts&amp;view=category&amp;id=52&amp;Itemid</w:t>
        </w:r>
      </w:hyperlink>
      <w:r w:rsidRPr="00432ABE">
        <w:rPr>
          <w:rFonts w:ascii="Times New Roman" w:hAnsi="Times New Roman" w:cs="Times New Roman"/>
          <w:color w:val="000000"/>
          <w:sz w:val="28"/>
          <w:szCs w:val="28"/>
        </w:rPr>
        <w:t xml:space="preserve"> (дата обращения 24.02.2018).</w:t>
      </w:r>
    </w:p>
    <w:p w:rsidR="00635D3E" w:rsidRDefault="00635D3E" w:rsidP="00635D3E">
      <w:pPr>
        <w:pStyle w:val="a3"/>
        <w:numPr>
          <w:ilvl w:val="0"/>
          <w:numId w:val="8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2ABE">
        <w:rPr>
          <w:rFonts w:ascii="Times New Roman" w:hAnsi="Times New Roman" w:cs="Times New Roman"/>
          <w:sz w:val="28"/>
          <w:szCs w:val="28"/>
        </w:rPr>
        <w:t xml:space="preserve">Доклад о торговле и развитии // Конфедерация Организации Объединенных наций по торговле и развитию. </w:t>
      </w:r>
      <w:r w:rsidRPr="00432AB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32ABE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unctad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en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PublicationsLibrary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tdr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2016_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pdf</w:t>
        </w:r>
      </w:hyperlink>
      <w:r w:rsidRPr="00432ABE">
        <w:rPr>
          <w:rFonts w:ascii="Times New Roman" w:hAnsi="Times New Roman" w:cs="Times New Roman"/>
          <w:sz w:val="28"/>
          <w:szCs w:val="28"/>
        </w:rPr>
        <w:t xml:space="preserve"> (дата обращения 25.12.2017)</w:t>
      </w:r>
    </w:p>
    <w:p w:rsidR="00635D3E" w:rsidRDefault="00635D3E" w:rsidP="00635D3E">
      <w:pPr>
        <w:pStyle w:val="a3"/>
        <w:numPr>
          <w:ilvl w:val="0"/>
          <w:numId w:val="8"/>
        </w:numPr>
        <w:spacing w:after="16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2ABE">
        <w:rPr>
          <w:rFonts w:ascii="Times New Roman" w:hAnsi="Times New Roman" w:cs="Times New Roman"/>
          <w:sz w:val="28"/>
          <w:szCs w:val="28"/>
        </w:rPr>
        <w:t xml:space="preserve">На сколько России хватит нефти и газа // Ведомости. URL: </w:t>
      </w:r>
      <w:hyperlink r:id="rId8" w:history="1"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vedomosti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business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articles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/2017/03/29/683292-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na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skolko</w:t>
        </w:r>
        <w:proofErr w:type="spellEnd"/>
      </w:hyperlink>
      <w:r w:rsidRPr="00432ABE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432ABE">
        <w:rPr>
          <w:rFonts w:ascii="Times New Roman" w:hAnsi="Times New Roman" w:cs="Times New Roman"/>
          <w:color w:val="000000"/>
          <w:sz w:val="28"/>
          <w:szCs w:val="28"/>
        </w:rPr>
        <w:t>(дата обращения 18.03.2018).</w:t>
      </w:r>
    </w:p>
    <w:p w:rsidR="00635D3E" w:rsidRPr="00635D3E" w:rsidRDefault="00635D3E" w:rsidP="00635D3E">
      <w:pPr>
        <w:pStyle w:val="a3"/>
        <w:numPr>
          <w:ilvl w:val="0"/>
          <w:numId w:val="8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2ABE">
        <w:rPr>
          <w:rFonts w:ascii="Times New Roman" w:hAnsi="Times New Roman" w:cs="Times New Roman"/>
          <w:sz w:val="28"/>
          <w:szCs w:val="28"/>
        </w:rPr>
        <w:t xml:space="preserve">Нефтехимия – одна из наиболее прибыльных и быстро развивающихся отраслей в мире // Комитет Государственной Думы по энергетике. </w:t>
      </w:r>
      <w:r w:rsidRPr="00432AB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432ABE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komitet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2-13.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km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duma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Novosti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Komiteta</w:t>
        </w:r>
        <w:proofErr w:type="spellEnd"/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item</w:t>
        </w:r>
        <w:r w:rsidRPr="00432ABE">
          <w:rPr>
            <w:rStyle w:val="a6"/>
            <w:rFonts w:ascii="Times New Roman" w:hAnsi="Times New Roman" w:cs="Times New Roman"/>
            <w:sz w:val="28"/>
            <w:szCs w:val="28"/>
          </w:rPr>
          <w:t>/15048569/</w:t>
        </w:r>
      </w:hyperlink>
      <w:r w:rsidRPr="00432ABE">
        <w:rPr>
          <w:rFonts w:ascii="Times New Roman" w:hAnsi="Times New Roman" w:cs="Times New Roman"/>
          <w:color w:val="0086C2"/>
          <w:sz w:val="28"/>
          <w:szCs w:val="28"/>
        </w:rPr>
        <w:t xml:space="preserve"> </w:t>
      </w:r>
      <w:r w:rsidRPr="00432ABE">
        <w:rPr>
          <w:rFonts w:ascii="Times New Roman" w:hAnsi="Times New Roman" w:cs="Times New Roman"/>
          <w:sz w:val="28"/>
          <w:szCs w:val="28"/>
        </w:rPr>
        <w:t>(дата обращения 12.01.2018)</w:t>
      </w:r>
    </w:p>
    <w:p w:rsidR="00635D3E" w:rsidRDefault="00635D3E" w:rsidP="00635D3E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432ABE">
        <w:rPr>
          <w:rFonts w:ascii="Times New Roman" w:hAnsi="Times New Roman" w:cs="Times New Roman"/>
          <w:sz w:val="28"/>
          <w:szCs w:val="28"/>
        </w:rPr>
        <w:t xml:space="preserve">Российский статистический ежегодник // </w:t>
      </w:r>
      <w:r w:rsidRPr="00432ABE">
        <w:rPr>
          <w:rFonts w:ascii="Times New Roman" w:hAnsi="Times New Roman" w:cs="Times New Roman"/>
          <w:color w:val="000000"/>
          <w:sz w:val="28"/>
          <w:szCs w:val="28"/>
        </w:rPr>
        <w:t>Федеральная служба государственной статистики. –</w:t>
      </w:r>
      <w:r w:rsidRPr="00432ABE">
        <w:rPr>
          <w:rFonts w:ascii="Times New Roman" w:hAnsi="Times New Roman" w:cs="Times New Roman"/>
          <w:sz w:val="28"/>
          <w:szCs w:val="28"/>
        </w:rPr>
        <w:t xml:space="preserve"> 2017. – 686 с.</w:t>
      </w:r>
    </w:p>
    <w:p w:rsidR="00635D3E" w:rsidRPr="00635D3E" w:rsidRDefault="00635D3E" w:rsidP="00635D3E">
      <w:pPr>
        <w:pStyle w:val="a3"/>
        <w:numPr>
          <w:ilvl w:val="0"/>
          <w:numId w:val="8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ABE">
        <w:rPr>
          <w:rFonts w:ascii="Times New Roman" w:hAnsi="Times New Roman" w:cs="Times New Roman"/>
          <w:sz w:val="28"/>
          <w:szCs w:val="28"/>
        </w:rPr>
        <w:t>Сухарев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2ABE">
        <w:rPr>
          <w:rFonts w:ascii="Times New Roman" w:hAnsi="Times New Roman" w:cs="Times New Roman"/>
          <w:sz w:val="28"/>
          <w:szCs w:val="28"/>
        </w:rPr>
        <w:t>О. С. Структурная политика в экономике России: условия формирования // Приоритеты России. – 2014. - № 3 (240). С. 2-8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5D3E" w:rsidRPr="00432ABE" w:rsidRDefault="00635D3E" w:rsidP="00635D3E">
      <w:pPr>
        <w:numPr>
          <w:ilvl w:val="0"/>
          <w:numId w:val="8"/>
        </w:numPr>
        <w:shd w:val="clear" w:color="auto" w:fill="FFFFFF"/>
        <w:spacing w:before="72" w:after="72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2AB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Татаркин А.И., Романова О. А.</w:t>
      </w:r>
      <w:r w:rsidRPr="00432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Промышленная политика и механизм ее реализации: системный подход // Экономика региона. - 2007. - № 3. С. 19—31.</w:t>
      </w:r>
    </w:p>
    <w:p w:rsidR="00635D3E" w:rsidRDefault="00635D3E" w:rsidP="00635D3E">
      <w:pPr>
        <w:pStyle w:val="a3"/>
        <w:numPr>
          <w:ilvl w:val="0"/>
          <w:numId w:val="8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35D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2ABE">
        <w:rPr>
          <w:rFonts w:ascii="Times New Roman" w:hAnsi="Times New Roman" w:cs="Times New Roman"/>
          <w:sz w:val="28"/>
          <w:szCs w:val="28"/>
          <w:lang w:val="en-US"/>
        </w:rPr>
        <w:t>Kuznets S. Modern economic growth: Findings and reflections // The American Economic Review. – 1973. - № 63(3). P. 247−258.</w:t>
      </w:r>
    </w:p>
    <w:p w:rsidR="00DA4D49" w:rsidRDefault="00DA4D49" w:rsidP="00DA4D49">
      <w:pPr>
        <w:pStyle w:val="a3"/>
        <w:spacing w:after="160" w:line="36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A4D49" w:rsidRPr="00DA4D49" w:rsidRDefault="00DA4D49" w:rsidP="00DA4D49">
      <w:pPr>
        <w:pStyle w:val="a3"/>
        <w:spacing w:after="160" w:line="360" w:lineRule="auto"/>
        <w:ind w:left="1080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DA4D49">
        <w:rPr>
          <w:rFonts w:ascii="Times New Roman" w:hAnsi="Times New Roman" w:cs="Times New Roman"/>
          <w:bCs/>
          <w:sz w:val="28"/>
          <w:szCs w:val="28"/>
        </w:rPr>
        <w:t>© М.А. Климович, 2018</w:t>
      </w:r>
    </w:p>
    <w:p w:rsidR="00DA4D49" w:rsidRPr="00432ABE" w:rsidRDefault="00DA4D49" w:rsidP="00DA4D49">
      <w:pPr>
        <w:pStyle w:val="a3"/>
        <w:spacing w:after="160" w:line="360" w:lineRule="auto"/>
        <w:ind w:left="1080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35D3E" w:rsidRPr="00635D3E" w:rsidRDefault="00635D3E" w:rsidP="00635D3E">
      <w:pPr>
        <w:spacing w:after="160" w:line="36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5D3E" w:rsidRPr="001305A9" w:rsidRDefault="00635D3E" w:rsidP="00635D3E">
      <w:pPr>
        <w:spacing w:after="16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sectPr w:rsidR="00635D3E" w:rsidRPr="001305A9" w:rsidSect="00432AB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7E0"/>
    <w:multiLevelType w:val="multilevel"/>
    <w:tmpl w:val="5FC6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514D3"/>
    <w:multiLevelType w:val="hybridMultilevel"/>
    <w:tmpl w:val="7E9ED52C"/>
    <w:lvl w:ilvl="0" w:tplc="75EC71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2646D"/>
    <w:multiLevelType w:val="hybridMultilevel"/>
    <w:tmpl w:val="7B749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E687D"/>
    <w:multiLevelType w:val="hybridMultilevel"/>
    <w:tmpl w:val="06E84A26"/>
    <w:lvl w:ilvl="0" w:tplc="D7822E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AA5A8B"/>
    <w:multiLevelType w:val="hybridMultilevel"/>
    <w:tmpl w:val="9578B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216ED"/>
    <w:multiLevelType w:val="hybridMultilevel"/>
    <w:tmpl w:val="5EA09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D2D69"/>
    <w:multiLevelType w:val="multilevel"/>
    <w:tmpl w:val="96D86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DA3D5B"/>
    <w:multiLevelType w:val="hybridMultilevel"/>
    <w:tmpl w:val="FA0A1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21D8A"/>
    <w:multiLevelType w:val="hybridMultilevel"/>
    <w:tmpl w:val="DC8EB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C4C88"/>
    <w:multiLevelType w:val="hybridMultilevel"/>
    <w:tmpl w:val="8F647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A43A8"/>
    <w:multiLevelType w:val="hybridMultilevel"/>
    <w:tmpl w:val="A2704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DF730E4"/>
    <w:multiLevelType w:val="hybridMultilevel"/>
    <w:tmpl w:val="BECE973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11"/>
  </w:num>
  <w:num w:numId="8">
    <w:abstractNumId w:val="3"/>
  </w:num>
  <w:num w:numId="9">
    <w:abstractNumId w:val="10"/>
  </w:num>
  <w:num w:numId="10">
    <w:abstractNumId w:val="1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4D"/>
    <w:rsid w:val="00010846"/>
    <w:rsid w:val="00014F95"/>
    <w:rsid w:val="00043C81"/>
    <w:rsid w:val="000D0D65"/>
    <w:rsid w:val="000F6B20"/>
    <w:rsid w:val="001206DD"/>
    <w:rsid w:val="001305A9"/>
    <w:rsid w:val="00131FF4"/>
    <w:rsid w:val="00140006"/>
    <w:rsid w:val="00194939"/>
    <w:rsid w:val="00246B9F"/>
    <w:rsid w:val="00273E1B"/>
    <w:rsid w:val="002863A7"/>
    <w:rsid w:val="00296ECC"/>
    <w:rsid w:val="002D7734"/>
    <w:rsid w:val="00365819"/>
    <w:rsid w:val="00432ABE"/>
    <w:rsid w:val="0044130F"/>
    <w:rsid w:val="005367C5"/>
    <w:rsid w:val="00606452"/>
    <w:rsid w:val="0060664D"/>
    <w:rsid w:val="00610069"/>
    <w:rsid w:val="00635D3E"/>
    <w:rsid w:val="00711B2F"/>
    <w:rsid w:val="00725E9B"/>
    <w:rsid w:val="007A484C"/>
    <w:rsid w:val="007C17C1"/>
    <w:rsid w:val="00812B93"/>
    <w:rsid w:val="008E5D79"/>
    <w:rsid w:val="00973C67"/>
    <w:rsid w:val="009A4F9D"/>
    <w:rsid w:val="009F214E"/>
    <w:rsid w:val="00A83B1A"/>
    <w:rsid w:val="00AF478A"/>
    <w:rsid w:val="00B65B4F"/>
    <w:rsid w:val="00BD18B7"/>
    <w:rsid w:val="00C41210"/>
    <w:rsid w:val="00C85BF1"/>
    <w:rsid w:val="00CE6879"/>
    <w:rsid w:val="00D57173"/>
    <w:rsid w:val="00D86718"/>
    <w:rsid w:val="00DA4D49"/>
    <w:rsid w:val="00E06C61"/>
    <w:rsid w:val="00EE7CB9"/>
    <w:rsid w:val="00EF31B5"/>
    <w:rsid w:val="00F43820"/>
    <w:rsid w:val="00F52C71"/>
    <w:rsid w:val="00FC56B0"/>
    <w:rsid w:val="00FD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FFEF"/>
  <w15:docId w15:val="{E539BF88-40E6-49AA-9B2B-6CD9E362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21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link w:val="50"/>
    <w:uiPriority w:val="9"/>
    <w:qFormat/>
    <w:rsid w:val="00725E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C71"/>
    <w:pPr>
      <w:ind w:left="720"/>
      <w:contextualSpacing/>
    </w:pPr>
  </w:style>
  <w:style w:type="character" w:styleId="a4">
    <w:name w:val="Emphasis"/>
    <w:basedOn w:val="a0"/>
    <w:uiPriority w:val="20"/>
    <w:qFormat/>
    <w:rsid w:val="00F52C71"/>
    <w:rPr>
      <w:i/>
      <w:iCs/>
    </w:rPr>
  </w:style>
  <w:style w:type="character" w:styleId="a5">
    <w:name w:val="Strong"/>
    <w:basedOn w:val="a0"/>
    <w:uiPriority w:val="22"/>
    <w:qFormat/>
    <w:rsid w:val="00F52C71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725E9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EF31B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43C81"/>
    <w:rPr>
      <w:color w:val="808080"/>
      <w:shd w:val="clear" w:color="auto" w:fill="E6E6E6"/>
    </w:rPr>
  </w:style>
  <w:style w:type="character" w:customStyle="1" w:styleId="10">
    <w:name w:val="Заголовок 1 Знак"/>
    <w:basedOn w:val="a0"/>
    <w:link w:val="1"/>
    <w:uiPriority w:val="9"/>
    <w:rsid w:val="009F21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domosti.ru/business/articles/2017/03/29/683292-na-skolko" TargetMode="External"/><Relationship Id="rId3" Type="http://schemas.openxmlformats.org/officeDocument/2006/relationships/styles" Target="styles.xml"/><Relationship Id="rId7" Type="http://schemas.openxmlformats.org/officeDocument/2006/relationships/hyperlink" Target="http://unctad.org/en/PublicationsLibrary/tdr2016_ru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ustoms.ru/index.php?option=com_newsfts&amp;view=category&amp;id=52&amp;Itemi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omitet2-13.km.duma.gov.ru/Novosti-Komiteta/item/150485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47432-542C-433A-9153-F7EC7E3C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16915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User</cp:lastModifiedBy>
  <cp:revision>19</cp:revision>
  <dcterms:created xsi:type="dcterms:W3CDTF">2018-04-13T07:17:00Z</dcterms:created>
  <dcterms:modified xsi:type="dcterms:W3CDTF">2018-05-26T08:22:00Z</dcterms:modified>
</cp:coreProperties>
</file>